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CB89E" w14:textId="6F040659" w:rsidR="006E1A97" w:rsidRDefault="630747AC" w:rsidP="7F51BD41">
      <w:pPr>
        <w:jc w:val="center"/>
        <w:rPr>
          <w:rFonts w:eastAsiaTheme="minorEastAsia"/>
          <w:b/>
          <w:bCs/>
          <w:sz w:val="22"/>
          <w:szCs w:val="22"/>
        </w:rPr>
      </w:pPr>
      <w:r w:rsidRPr="7F51BD41">
        <w:rPr>
          <w:rFonts w:eastAsiaTheme="minorEastAsia"/>
          <w:b/>
          <w:bCs/>
          <w:sz w:val="22"/>
          <w:szCs w:val="22"/>
        </w:rPr>
        <w:t>Washington, D.C. Fl</w:t>
      </w:r>
      <w:r w:rsidR="5290D225" w:rsidRPr="7F51BD41">
        <w:rPr>
          <w:rFonts w:eastAsiaTheme="minorEastAsia"/>
          <w:b/>
          <w:bCs/>
          <w:sz w:val="22"/>
          <w:szCs w:val="22"/>
        </w:rPr>
        <w:t>y In</w:t>
      </w:r>
      <w:r w:rsidR="67F47D8B" w:rsidRPr="7F51BD41">
        <w:rPr>
          <w:rFonts w:eastAsiaTheme="minorEastAsia"/>
          <w:b/>
          <w:bCs/>
          <w:sz w:val="22"/>
          <w:szCs w:val="22"/>
        </w:rPr>
        <w:t xml:space="preserve"> </w:t>
      </w:r>
    </w:p>
    <w:p w14:paraId="3A970170" w14:textId="2089F16F" w:rsidR="006E1A97" w:rsidRDefault="5290D225" w:rsidP="7F51BD41">
      <w:pPr>
        <w:jc w:val="center"/>
        <w:rPr>
          <w:rFonts w:eastAsiaTheme="minorEastAsia"/>
          <w:b/>
          <w:bCs/>
          <w:sz w:val="22"/>
          <w:szCs w:val="22"/>
        </w:rPr>
      </w:pPr>
      <w:r w:rsidRPr="7F51BD41">
        <w:rPr>
          <w:rFonts w:eastAsiaTheme="minorEastAsia"/>
          <w:b/>
          <w:bCs/>
          <w:sz w:val="22"/>
          <w:szCs w:val="22"/>
        </w:rPr>
        <w:t>September 22-23, 2026</w:t>
      </w:r>
    </w:p>
    <w:p w14:paraId="27C07DE0" w14:textId="6C9EF461" w:rsidR="006E1A97" w:rsidRDefault="006E1A97" w:rsidP="7F51BD41">
      <w:pPr>
        <w:rPr>
          <w:rFonts w:eastAsiaTheme="minorEastAsia"/>
          <w:sz w:val="22"/>
          <w:szCs w:val="22"/>
        </w:rPr>
      </w:pPr>
    </w:p>
    <w:p w14:paraId="19364F5D" w14:textId="2DDD3A7D" w:rsidR="006E1A97" w:rsidRDefault="5A995E7A" w:rsidP="7F51BD41">
      <w:pPr>
        <w:spacing w:before="240" w:after="240"/>
        <w:rPr>
          <w:rFonts w:ascii="Aptos" w:eastAsia="Aptos" w:hAnsi="Aptos" w:cs="Aptos"/>
          <w:sz w:val="22"/>
          <w:szCs w:val="22"/>
        </w:rPr>
      </w:pPr>
      <w:r w:rsidRPr="7F51BD41">
        <w:rPr>
          <w:rFonts w:ascii="Aptos" w:eastAsia="Aptos" w:hAnsi="Aptos" w:cs="Aptos"/>
          <w:b/>
          <w:bCs/>
          <w:sz w:val="22"/>
          <w:szCs w:val="22"/>
        </w:rPr>
        <w:t xml:space="preserve">AIC: </w:t>
      </w:r>
      <w:r w:rsidRPr="7F51BD41">
        <w:rPr>
          <w:rFonts w:ascii="Aptos" w:eastAsia="Aptos" w:hAnsi="Aptos" w:cs="Aptos"/>
          <w:sz w:val="22"/>
          <w:szCs w:val="22"/>
        </w:rPr>
        <w:t>The Atchafalaya Intracoastal Coalition (AIC) promotes economic development in St. Mary Parish and the surrounding area, bringing together industry and business leaders to solve common problems and advance sound business practices across the region.</w:t>
      </w:r>
    </w:p>
    <w:p w14:paraId="07B3CD18" w14:textId="1FC6F3A4" w:rsidR="006E1A97" w:rsidRDefault="5A995E7A" w:rsidP="7F51BD41">
      <w:pPr>
        <w:spacing w:before="240" w:after="240"/>
        <w:rPr>
          <w:rFonts w:ascii="Aptos" w:eastAsia="Aptos" w:hAnsi="Aptos" w:cs="Aptos"/>
          <w:sz w:val="22"/>
          <w:szCs w:val="22"/>
        </w:rPr>
      </w:pPr>
      <w:r w:rsidRPr="7F51BD41">
        <w:rPr>
          <w:rFonts w:ascii="Aptos" w:eastAsia="Aptos" w:hAnsi="Aptos" w:cs="Aptos"/>
          <w:b/>
          <w:bCs/>
          <w:sz w:val="22"/>
          <w:szCs w:val="22"/>
        </w:rPr>
        <w:t xml:space="preserve">COLAB: </w:t>
      </w:r>
      <w:r w:rsidRPr="7F51BD41">
        <w:rPr>
          <w:rFonts w:ascii="Aptos" w:eastAsia="Aptos" w:hAnsi="Aptos" w:cs="Aptos"/>
          <w:sz w:val="22"/>
          <w:szCs w:val="22"/>
        </w:rPr>
        <w:t>COLAB is the regional economic development organization serving the Bayou Region, working to strengthen the business climate and grow the economy across Assumption, Lafourche, St. Mary, and Terrebonne Parishes. Learn more at bayouregion.com.</w:t>
      </w:r>
    </w:p>
    <w:p w14:paraId="30BB699F" w14:textId="413CE149" w:rsidR="006E1A97" w:rsidRDefault="716F8C7E" w:rsidP="716F8C7E">
      <w:pPr>
        <w:spacing w:before="240" w:after="240" w:line="259" w:lineRule="auto"/>
        <w:rPr>
          <w:rFonts w:ascii="Aptos" w:eastAsia="Aptos" w:hAnsi="Aptos" w:cs="Aptos"/>
          <w:sz w:val="22"/>
          <w:szCs w:val="22"/>
        </w:rPr>
      </w:pPr>
      <w:r w:rsidRPr="716F8C7E">
        <w:rPr>
          <w:rFonts w:ascii="Aptos" w:eastAsia="Aptos" w:hAnsi="Aptos" w:cs="Aptos"/>
          <w:b/>
          <w:bCs/>
          <w:sz w:val="22"/>
          <w:szCs w:val="22"/>
        </w:rPr>
        <w:t xml:space="preserve">SCIA: </w:t>
      </w:r>
      <w:r w:rsidRPr="716F8C7E">
        <w:rPr>
          <w:rFonts w:ascii="Aptos" w:eastAsia="Aptos" w:hAnsi="Aptos" w:cs="Aptos"/>
          <w:sz w:val="22"/>
          <w:szCs w:val="22"/>
        </w:rPr>
        <w:t xml:space="preserve">South Central Industrial Association (SCIA) represents </w:t>
      </w:r>
      <w:r w:rsidR="00E9248F">
        <w:rPr>
          <w:rFonts w:ascii="Aptos" w:eastAsia="Aptos" w:hAnsi="Aptos" w:cs="Aptos"/>
          <w:sz w:val="22"/>
          <w:szCs w:val="22"/>
        </w:rPr>
        <w:t>over</w:t>
      </w:r>
      <w:r w:rsidRPr="716F8C7E">
        <w:rPr>
          <w:rFonts w:ascii="Aptos" w:eastAsia="Aptos" w:hAnsi="Aptos" w:cs="Aptos"/>
          <w:sz w:val="22"/>
          <w:szCs w:val="22"/>
        </w:rPr>
        <w:t xml:space="preserve"> 250 companies and 250,000 employees serving the oil, gas, and marine industries</w:t>
      </w:r>
      <w:r w:rsidR="008B712E">
        <w:rPr>
          <w:rFonts w:ascii="Aptos" w:eastAsia="Aptos" w:hAnsi="Aptos" w:cs="Aptos"/>
          <w:sz w:val="22"/>
          <w:szCs w:val="22"/>
        </w:rPr>
        <w:t xml:space="preserve">. SCIA </w:t>
      </w:r>
      <w:r w:rsidRPr="716F8C7E">
        <w:rPr>
          <w:rFonts w:ascii="Aptos" w:eastAsia="Aptos" w:hAnsi="Aptos" w:cs="Aptos"/>
          <w:sz w:val="22"/>
          <w:szCs w:val="22"/>
        </w:rPr>
        <w:t>advocates for American offshore energy production, levee protection, infrastructure, workforce development, and coastal restoration.</w:t>
      </w:r>
    </w:p>
    <w:p w14:paraId="60AFAE70" w14:textId="72D90D1D" w:rsidR="006E1A97" w:rsidRDefault="5A995E7A" w:rsidP="7F51BD41">
      <w:pPr>
        <w:spacing w:before="240" w:after="240"/>
      </w:pPr>
      <w:r w:rsidRPr="7F51BD41">
        <w:rPr>
          <w:rFonts w:ascii="Aptos" w:eastAsia="Aptos" w:hAnsi="Aptos" w:cs="Aptos"/>
          <w:b/>
          <w:bCs/>
          <w:sz w:val="22"/>
          <w:szCs w:val="22"/>
        </w:rPr>
        <w:t xml:space="preserve">LMOGA: </w:t>
      </w:r>
      <w:r w:rsidRPr="7F51BD41">
        <w:rPr>
          <w:rFonts w:ascii="Aptos" w:eastAsia="Aptos" w:hAnsi="Aptos" w:cs="Aptos"/>
          <w:sz w:val="22"/>
          <w:szCs w:val="22"/>
        </w:rPr>
        <w:t>The Louisiana Mid-Continent Oil &amp; Gas Association (LMOGA), founded in 1923, is a trade association representing all sectors of the oil and gas industry operating in Louisiana and the Gulf of America, including exploration, production, refining, transportation, and marketing.</w:t>
      </w:r>
    </w:p>
    <w:p w14:paraId="1BF11DBF" w14:textId="0236CBE1" w:rsidR="006E1A97" w:rsidRDefault="7493F305" w:rsidP="7F51BD41">
      <w:pPr>
        <w:spacing w:before="240" w:after="240" w:line="259" w:lineRule="auto"/>
        <w:rPr>
          <w:rFonts w:eastAsiaTheme="minorEastAsia"/>
          <w:sz w:val="22"/>
          <w:szCs w:val="22"/>
        </w:rPr>
      </w:pPr>
      <w:r w:rsidRPr="00D33C2D">
        <w:rPr>
          <w:rFonts w:eastAsiaTheme="minorEastAsia"/>
          <w:b/>
          <w:bCs/>
          <w:sz w:val="22"/>
          <w:szCs w:val="22"/>
        </w:rPr>
        <w:t>Bayou Region</w:t>
      </w:r>
      <w:r w:rsidRPr="7F51BD41">
        <w:rPr>
          <w:rFonts w:eastAsiaTheme="minorEastAsia"/>
          <w:sz w:val="22"/>
          <w:szCs w:val="22"/>
        </w:rPr>
        <w:t xml:space="preserve"> </w:t>
      </w:r>
      <w:r w:rsidR="20114095" w:rsidRPr="7F51BD41">
        <w:rPr>
          <w:rFonts w:eastAsiaTheme="minorEastAsia"/>
          <w:sz w:val="22"/>
          <w:szCs w:val="22"/>
        </w:rPr>
        <w:t xml:space="preserve">representatives </w:t>
      </w:r>
      <w:r w:rsidRPr="7F51BD41">
        <w:rPr>
          <w:rFonts w:eastAsiaTheme="minorEastAsia"/>
          <w:sz w:val="22"/>
          <w:szCs w:val="22"/>
        </w:rPr>
        <w:t xml:space="preserve">are in Washington to raise the most urgent needs facing our communities: </w:t>
      </w:r>
      <w:r w:rsidR="0F892900" w:rsidRPr="7F51BD41">
        <w:rPr>
          <w:rFonts w:eastAsiaTheme="minorEastAsia"/>
          <w:b/>
          <w:bCs/>
          <w:sz w:val="22"/>
          <w:szCs w:val="22"/>
        </w:rPr>
        <w:t xml:space="preserve">a </w:t>
      </w:r>
      <w:r w:rsidRPr="7F51BD41">
        <w:rPr>
          <w:rFonts w:eastAsiaTheme="minorEastAsia"/>
          <w:b/>
          <w:bCs/>
          <w:sz w:val="22"/>
          <w:szCs w:val="22"/>
        </w:rPr>
        <w:t>robust offshore energy industry, flood insurance reform, and workforce development</w:t>
      </w:r>
      <w:r w:rsidRPr="7F51BD41">
        <w:rPr>
          <w:rFonts w:eastAsiaTheme="minorEastAsia"/>
          <w:sz w:val="22"/>
          <w:szCs w:val="22"/>
        </w:rPr>
        <w:t xml:space="preserve">. </w:t>
      </w:r>
      <w:r w:rsidR="60C08FE9" w:rsidRPr="7F51BD41">
        <w:rPr>
          <w:rFonts w:eastAsiaTheme="minorEastAsia"/>
          <w:sz w:val="22"/>
          <w:szCs w:val="22"/>
        </w:rPr>
        <w:t>The o</w:t>
      </w:r>
      <w:r w:rsidR="0F892900" w:rsidRPr="7F51BD41">
        <w:rPr>
          <w:rFonts w:eastAsiaTheme="minorEastAsia"/>
          <w:sz w:val="22"/>
          <w:szCs w:val="22"/>
        </w:rPr>
        <w:t>ffshore</w:t>
      </w:r>
      <w:r w:rsidR="00B117C7">
        <w:rPr>
          <w:rFonts w:eastAsiaTheme="minorEastAsia"/>
          <w:sz w:val="22"/>
          <w:szCs w:val="22"/>
        </w:rPr>
        <w:t xml:space="preserve"> energy</w:t>
      </w:r>
      <w:r w:rsidR="0F892900" w:rsidRPr="7F51BD41">
        <w:rPr>
          <w:rFonts w:eastAsiaTheme="minorEastAsia"/>
          <w:sz w:val="22"/>
          <w:szCs w:val="22"/>
        </w:rPr>
        <w:t xml:space="preserve"> </w:t>
      </w:r>
      <w:r w:rsidR="20ADC4B8" w:rsidRPr="7F51BD41">
        <w:rPr>
          <w:rFonts w:eastAsiaTheme="minorEastAsia"/>
          <w:sz w:val="22"/>
          <w:szCs w:val="22"/>
        </w:rPr>
        <w:t>industry</w:t>
      </w:r>
      <w:r w:rsidR="0F892900" w:rsidRPr="7F51BD41">
        <w:rPr>
          <w:rFonts w:eastAsiaTheme="minorEastAsia"/>
          <w:sz w:val="22"/>
          <w:szCs w:val="22"/>
        </w:rPr>
        <w:t xml:space="preserve"> drives </w:t>
      </w:r>
      <w:r w:rsidR="619123CB" w:rsidRPr="7F51BD41">
        <w:rPr>
          <w:rFonts w:eastAsiaTheme="minorEastAsia"/>
          <w:sz w:val="22"/>
          <w:szCs w:val="22"/>
        </w:rPr>
        <w:t xml:space="preserve">our </w:t>
      </w:r>
      <w:r w:rsidR="0F892900" w:rsidRPr="7F51BD41">
        <w:rPr>
          <w:rFonts w:eastAsiaTheme="minorEastAsia"/>
          <w:sz w:val="22"/>
          <w:szCs w:val="22"/>
        </w:rPr>
        <w:t xml:space="preserve">regional </w:t>
      </w:r>
      <w:r w:rsidR="20BB3ECD" w:rsidRPr="7F51BD41">
        <w:rPr>
          <w:rFonts w:eastAsiaTheme="minorEastAsia"/>
          <w:sz w:val="22"/>
          <w:szCs w:val="22"/>
        </w:rPr>
        <w:t>economy,</w:t>
      </w:r>
      <w:r w:rsidR="53DD8A67" w:rsidRPr="7F51BD41">
        <w:rPr>
          <w:rFonts w:eastAsiaTheme="minorEastAsia"/>
          <w:sz w:val="22"/>
          <w:szCs w:val="22"/>
        </w:rPr>
        <w:t xml:space="preserve"> which </w:t>
      </w:r>
      <w:r w:rsidR="0F892900" w:rsidRPr="7F51BD41">
        <w:rPr>
          <w:rFonts w:eastAsiaTheme="minorEastAsia"/>
          <w:sz w:val="22"/>
          <w:szCs w:val="22"/>
        </w:rPr>
        <w:t xml:space="preserve">depends on a </w:t>
      </w:r>
      <w:r w:rsidR="09A7E91B" w:rsidRPr="7F51BD41">
        <w:rPr>
          <w:rFonts w:eastAsiaTheme="minorEastAsia"/>
          <w:sz w:val="22"/>
          <w:szCs w:val="22"/>
        </w:rPr>
        <w:t xml:space="preserve">trained </w:t>
      </w:r>
      <w:r w:rsidR="0F892900" w:rsidRPr="7F51BD41">
        <w:rPr>
          <w:rFonts w:eastAsiaTheme="minorEastAsia"/>
          <w:sz w:val="22"/>
          <w:szCs w:val="22"/>
        </w:rPr>
        <w:t xml:space="preserve">workforce </w:t>
      </w:r>
      <w:r w:rsidR="22FBCD04" w:rsidRPr="7F51BD41">
        <w:rPr>
          <w:rFonts w:eastAsiaTheme="minorEastAsia"/>
          <w:sz w:val="22"/>
          <w:szCs w:val="22"/>
        </w:rPr>
        <w:t xml:space="preserve">who </w:t>
      </w:r>
      <w:r w:rsidR="26FDDC50" w:rsidRPr="7F51BD41">
        <w:rPr>
          <w:rFonts w:eastAsiaTheme="minorEastAsia"/>
          <w:sz w:val="22"/>
          <w:szCs w:val="22"/>
        </w:rPr>
        <w:t>desperately</w:t>
      </w:r>
      <w:r w:rsidR="22FBCD04" w:rsidRPr="7F51BD41">
        <w:rPr>
          <w:rFonts w:eastAsiaTheme="minorEastAsia"/>
          <w:sz w:val="22"/>
          <w:szCs w:val="22"/>
        </w:rPr>
        <w:t xml:space="preserve"> </w:t>
      </w:r>
      <w:r w:rsidR="29922960" w:rsidRPr="7F51BD41">
        <w:rPr>
          <w:rFonts w:eastAsiaTheme="minorEastAsia"/>
          <w:sz w:val="22"/>
          <w:szCs w:val="22"/>
        </w:rPr>
        <w:t>needs</w:t>
      </w:r>
      <w:r w:rsidR="22FBCD04" w:rsidRPr="7F51BD41">
        <w:rPr>
          <w:rFonts w:eastAsiaTheme="minorEastAsia"/>
          <w:sz w:val="22"/>
          <w:szCs w:val="22"/>
        </w:rPr>
        <w:t xml:space="preserve"> flood insurance reform </w:t>
      </w:r>
      <w:r w:rsidR="114A66E3" w:rsidRPr="7F51BD41">
        <w:rPr>
          <w:rFonts w:eastAsiaTheme="minorEastAsia"/>
          <w:sz w:val="22"/>
          <w:szCs w:val="22"/>
        </w:rPr>
        <w:t>for affordable housing</w:t>
      </w:r>
      <w:r w:rsidR="0F892900" w:rsidRPr="7F51BD41">
        <w:rPr>
          <w:rFonts w:eastAsiaTheme="minorEastAsia"/>
          <w:sz w:val="22"/>
          <w:szCs w:val="22"/>
        </w:rPr>
        <w:t xml:space="preserve">. </w:t>
      </w:r>
      <w:r w:rsidR="50C16BE7" w:rsidRPr="7F51BD41">
        <w:rPr>
          <w:rFonts w:eastAsiaTheme="minorEastAsia"/>
          <w:sz w:val="22"/>
          <w:szCs w:val="22"/>
        </w:rPr>
        <w:t>A</w:t>
      </w:r>
      <w:r w:rsidR="0F892900" w:rsidRPr="7F51BD41">
        <w:rPr>
          <w:rFonts w:eastAsiaTheme="minorEastAsia"/>
          <w:sz w:val="22"/>
          <w:szCs w:val="22"/>
        </w:rPr>
        <w:t>ll three strengthen</w:t>
      </w:r>
      <w:r w:rsidR="3A6A3DED" w:rsidRPr="7F51BD41">
        <w:rPr>
          <w:rFonts w:eastAsiaTheme="minorEastAsia"/>
          <w:sz w:val="22"/>
          <w:szCs w:val="22"/>
        </w:rPr>
        <w:t xml:space="preserve"> </w:t>
      </w:r>
      <w:r w:rsidR="0F892900" w:rsidRPr="7F51BD41">
        <w:rPr>
          <w:rFonts w:eastAsiaTheme="minorEastAsia"/>
          <w:sz w:val="22"/>
          <w:szCs w:val="22"/>
        </w:rPr>
        <w:t>an industry that supplies energy the rest of the country</w:t>
      </w:r>
      <w:r w:rsidR="00B117C7">
        <w:rPr>
          <w:rFonts w:eastAsiaTheme="minorEastAsia"/>
          <w:sz w:val="22"/>
          <w:szCs w:val="22"/>
        </w:rPr>
        <w:t xml:space="preserve"> and globe </w:t>
      </w:r>
      <w:r w:rsidR="0F892900" w:rsidRPr="7F51BD41">
        <w:rPr>
          <w:rFonts w:eastAsiaTheme="minorEastAsia"/>
          <w:sz w:val="22"/>
          <w:szCs w:val="22"/>
        </w:rPr>
        <w:t>depends on.</w:t>
      </w:r>
    </w:p>
    <w:p w14:paraId="68BAD28E" w14:textId="311BD6A3" w:rsidR="006E1A97" w:rsidRPr="006E1A97" w:rsidRDefault="5290D225" w:rsidP="7F51BD41">
      <w:pPr>
        <w:pStyle w:val="ListParagraph"/>
        <w:numPr>
          <w:ilvl w:val="0"/>
          <w:numId w:val="2"/>
        </w:numPr>
        <w:rPr>
          <w:rFonts w:eastAsiaTheme="minorEastAsia"/>
          <w:b/>
          <w:bCs/>
          <w:sz w:val="22"/>
          <w:szCs w:val="22"/>
        </w:rPr>
      </w:pPr>
      <w:r w:rsidRPr="7F51BD41">
        <w:rPr>
          <w:rFonts w:eastAsiaTheme="minorEastAsia"/>
          <w:b/>
          <w:bCs/>
          <w:sz w:val="22"/>
          <w:szCs w:val="22"/>
        </w:rPr>
        <w:t>Energy:</w:t>
      </w:r>
    </w:p>
    <w:p w14:paraId="637A91B4" w14:textId="7DCACD79" w:rsidR="1AA66729" w:rsidRDefault="39E25A82" w:rsidP="7F51BD41">
      <w:pPr>
        <w:pStyle w:val="ListParagraph"/>
        <w:numPr>
          <w:ilvl w:val="0"/>
          <w:numId w:val="3"/>
        </w:numPr>
        <w:spacing w:before="240" w:after="240" w:line="259" w:lineRule="auto"/>
        <w:rPr>
          <w:rFonts w:ascii="Aptos" w:eastAsia="Aptos" w:hAnsi="Aptos" w:cs="Aptos"/>
          <w:sz w:val="22"/>
          <w:szCs w:val="22"/>
        </w:rPr>
      </w:pPr>
      <w:r w:rsidRPr="7F51BD41">
        <w:rPr>
          <w:rFonts w:ascii="Aptos" w:eastAsia="Aptos" w:hAnsi="Aptos" w:cs="Aptos"/>
          <w:b/>
          <w:bCs/>
          <w:sz w:val="22"/>
          <w:szCs w:val="22"/>
        </w:rPr>
        <w:t xml:space="preserve">Background: </w:t>
      </w:r>
      <w:r w:rsidRPr="7F51BD41">
        <w:rPr>
          <w:rFonts w:ascii="Aptos" w:eastAsia="Aptos" w:hAnsi="Aptos" w:cs="Aptos"/>
          <w:sz w:val="22"/>
          <w:szCs w:val="22"/>
        </w:rPr>
        <w:t xml:space="preserve">The Gulf of America </w:t>
      </w:r>
      <w:r w:rsidR="30393F14" w:rsidRPr="7F51BD41">
        <w:rPr>
          <w:rFonts w:ascii="Aptos" w:eastAsia="Aptos" w:hAnsi="Aptos" w:cs="Aptos"/>
          <w:sz w:val="22"/>
          <w:szCs w:val="22"/>
        </w:rPr>
        <w:t xml:space="preserve">(GOA) </w:t>
      </w:r>
      <w:r w:rsidRPr="7F51BD41">
        <w:rPr>
          <w:rFonts w:ascii="Aptos" w:eastAsia="Aptos" w:hAnsi="Aptos" w:cs="Aptos"/>
          <w:sz w:val="22"/>
          <w:szCs w:val="22"/>
        </w:rPr>
        <w:t xml:space="preserve">produces </w:t>
      </w:r>
      <w:r w:rsidR="02610B7D" w:rsidRPr="7F51BD41">
        <w:rPr>
          <w:rFonts w:ascii="Aptos" w:eastAsia="Aptos" w:hAnsi="Aptos" w:cs="Aptos"/>
          <w:sz w:val="22"/>
          <w:szCs w:val="22"/>
        </w:rPr>
        <w:t xml:space="preserve">nearly </w:t>
      </w:r>
      <w:r w:rsidR="00394631" w:rsidRPr="7F51BD41">
        <w:rPr>
          <w:rFonts w:ascii="Aptos" w:eastAsia="Aptos" w:hAnsi="Aptos" w:cs="Aptos"/>
          <w:sz w:val="22"/>
          <w:szCs w:val="22"/>
        </w:rPr>
        <w:t>all</w:t>
      </w:r>
      <w:r w:rsidRPr="7F51BD41">
        <w:rPr>
          <w:rFonts w:ascii="Aptos" w:eastAsia="Aptos" w:hAnsi="Aptos" w:cs="Aptos"/>
          <w:sz w:val="22"/>
          <w:szCs w:val="22"/>
        </w:rPr>
        <w:t xml:space="preserve"> the nation's </w:t>
      </w:r>
      <w:r w:rsidR="5F0B1B0A" w:rsidRPr="7F51BD41">
        <w:rPr>
          <w:rFonts w:ascii="Aptos" w:eastAsia="Aptos" w:hAnsi="Aptos" w:cs="Aptos"/>
          <w:sz w:val="22"/>
          <w:szCs w:val="22"/>
        </w:rPr>
        <w:t xml:space="preserve">offshore </w:t>
      </w:r>
      <w:r w:rsidRPr="7F51BD41">
        <w:rPr>
          <w:rFonts w:ascii="Aptos" w:eastAsia="Aptos" w:hAnsi="Aptos" w:cs="Aptos"/>
          <w:sz w:val="22"/>
          <w:szCs w:val="22"/>
        </w:rPr>
        <w:t>oil and natural gas and supplies roughly 15 percent of America's domestic crude oil. The Bayou Region built this industry and keeps it running, from Port Fourchon's deepwater operations to the shipyards building the next generation of vessels for the U.S. military. Energy independence is national security, and offshore energy is a long-term business. The leasing and investment decisions made today determine the energy America has access to tomorrow, and offshore basins need continual access to new acreage as existing fields naturally deplete.</w:t>
      </w:r>
    </w:p>
    <w:p w14:paraId="677D5B0C" w14:textId="12BCADCC" w:rsidR="1AA66729" w:rsidRDefault="716F8C7E" w:rsidP="3BA2C613">
      <w:pPr>
        <w:pStyle w:val="ListParagraph"/>
        <w:numPr>
          <w:ilvl w:val="0"/>
          <w:numId w:val="3"/>
        </w:numPr>
        <w:spacing w:before="240" w:after="240"/>
        <w:rPr>
          <w:rFonts w:ascii="Aptos" w:eastAsia="Aptos" w:hAnsi="Aptos" w:cs="Aptos"/>
          <w:sz w:val="22"/>
          <w:szCs w:val="22"/>
        </w:rPr>
      </w:pPr>
      <w:r w:rsidRPr="716F8C7E">
        <w:rPr>
          <w:rFonts w:ascii="Aptos" w:eastAsia="Aptos" w:hAnsi="Aptos" w:cs="Aptos"/>
          <w:b/>
          <w:bCs/>
          <w:sz w:val="22"/>
          <w:szCs w:val="22"/>
        </w:rPr>
        <w:t xml:space="preserve">Request: </w:t>
      </w:r>
      <w:r w:rsidRPr="716F8C7E">
        <w:rPr>
          <w:rFonts w:ascii="Aptos" w:eastAsia="Aptos" w:hAnsi="Aptos" w:cs="Aptos"/>
          <w:sz w:val="22"/>
          <w:szCs w:val="22"/>
        </w:rPr>
        <w:t>Support policies that continue to encourage investment and growth in the GOA, including the Department of Interior's Five-Year Plan to expand offshore leasing access and encourage exploration and new production. A predictable leasing program means high-paying jobs, revenue for taxpayers, and a more secure, affordable, and reliable energy future for every American.</w:t>
      </w:r>
    </w:p>
    <w:p w14:paraId="70FB902A" w14:textId="4FAB7D18" w:rsidR="1AA66729" w:rsidRDefault="6AEDE0BE" w:rsidP="335E7493">
      <w:pPr>
        <w:pStyle w:val="ListParagraph"/>
        <w:numPr>
          <w:ilvl w:val="0"/>
          <w:numId w:val="3"/>
        </w:numPr>
        <w:spacing w:before="240" w:after="240"/>
        <w:rPr>
          <w:rFonts w:ascii="Aptos" w:eastAsia="Aptos" w:hAnsi="Aptos" w:cs="Aptos"/>
          <w:sz w:val="22"/>
          <w:szCs w:val="22"/>
        </w:rPr>
      </w:pPr>
      <w:r w:rsidRPr="7F51BD41">
        <w:rPr>
          <w:rFonts w:ascii="Aptos" w:eastAsia="Aptos" w:hAnsi="Aptos" w:cs="Aptos"/>
          <w:b/>
          <w:bCs/>
          <w:sz w:val="22"/>
          <w:szCs w:val="22"/>
        </w:rPr>
        <w:t>Port Priorities</w:t>
      </w:r>
    </w:p>
    <w:p w14:paraId="2A6F52B1" w14:textId="73DEACCF" w:rsidR="1AA66729" w:rsidRDefault="39E25A82" w:rsidP="00A3671E">
      <w:pPr>
        <w:pStyle w:val="ListParagraph"/>
        <w:numPr>
          <w:ilvl w:val="1"/>
          <w:numId w:val="3"/>
        </w:numPr>
        <w:spacing w:before="240" w:after="240"/>
      </w:pPr>
      <w:r w:rsidRPr="7F51BD41">
        <w:rPr>
          <w:rFonts w:ascii="Aptos" w:eastAsia="Aptos" w:hAnsi="Aptos" w:cs="Aptos"/>
          <w:b/>
          <w:bCs/>
          <w:sz w:val="22"/>
          <w:szCs w:val="22"/>
        </w:rPr>
        <w:t>Port Fourchon</w:t>
      </w:r>
      <w:r w:rsidR="21BDEF2A" w:rsidRPr="7F51BD41">
        <w:rPr>
          <w:rFonts w:ascii="Aptos" w:eastAsia="Aptos" w:hAnsi="Aptos" w:cs="Aptos"/>
          <w:b/>
          <w:bCs/>
          <w:sz w:val="22"/>
          <w:szCs w:val="22"/>
        </w:rPr>
        <w:t xml:space="preserve">: </w:t>
      </w:r>
    </w:p>
    <w:p w14:paraId="3A40BA63" w14:textId="0F1F355B" w:rsidR="1AA66729" w:rsidRPr="00A3671E" w:rsidRDefault="21BDEF2A" w:rsidP="00A3671E">
      <w:pPr>
        <w:pStyle w:val="ListParagraph"/>
        <w:numPr>
          <w:ilvl w:val="2"/>
          <w:numId w:val="3"/>
        </w:numPr>
        <w:spacing w:before="240" w:after="240"/>
        <w:rPr>
          <w:sz w:val="22"/>
          <w:szCs w:val="22"/>
        </w:rPr>
      </w:pPr>
      <w:r w:rsidRPr="00A3671E">
        <w:rPr>
          <w:sz w:val="22"/>
          <w:szCs w:val="22"/>
        </w:rPr>
        <w:t>Direct USACE to expedite permitting for Fourchon Island development.</w:t>
      </w:r>
    </w:p>
    <w:p w14:paraId="06BFD553" w14:textId="3AA46FF5" w:rsidR="1AA66729" w:rsidRPr="00A3671E" w:rsidRDefault="21BDEF2A" w:rsidP="00A3671E">
      <w:pPr>
        <w:pStyle w:val="ListParagraph"/>
        <w:numPr>
          <w:ilvl w:val="2"/>
          <w:numId w:val="3"/>
        </w:numPr>
        <w:rPr>
          <w:sz w:val="22"/>
          <w:szCs w:val="22"/>
        </w:rPr>
      </w:pPr>
      <w:r w:rsidRPr="00A3671E">
        <w:rPr>
          <w:sz w:val="22"/>
          <w:szCs w:val="22"/>
        </w:rPr>
        <w:t>Ensure Phase 2 channel deepening authorization is included in WRDA 2028.</w:t>
      </w:r>
    </w:p>
    <w:p w14:paraId="3E4E19A8" w14:textId="7DA9FEE9" w:rsidR="1AA66729" w:rsidRPr="00A3671E" w:rsidRDefault="21BDEF2A" w:rsidP="00A3671E">
      <w:pPr>
        <w:pStyle w:val="ListParagraph"/>
        <w:numPr>
          <w:ilvl w:val="2"/>
          <w:numId w:val="3"/>
        </w:numPr>
        <w:rPr>
          <w:sz w:val="22"/>
          <w:szCs w:val="22"/>
        </w:rPr>
      </w:pPr>
      <w:r w:rsidRPr="00A3671E">
        <w:rPr>
          <w:sz w:val="22"/>
          <w:szCs w:val="22"/>
        </w:rPr>
        <w:t>Provide technical assistance for regulatory compliance.</w:t>
      </w:r>
    </w:p>
    <w:p w14:paraId="6EAF2814" w14:textId="4639E90F" w:rsidR="1AA66729" w:rsidRPr="00A3671E" w:rsidRDefault="21BDEF2A" w:rsidP="00A3671E">
      <w:pPr>
        <w:pStyle w:val="ListParagraph"/>
        <w:numPr>
          <w:ilvl w:val="2"/>
          <w:numId w:val="3"/>
        </w:numPr>
        <w:rPr>
          <w:sz w:val="22"/>
          <w:szCs w:val="22"/>
        </w:rPr>
      </w:pPr>
      <w:r w:rsidRPr="00A3671E">
        <w:rPr>
          <w:sz w:val="22"/>
          <w:szCs w:val="22"/>
        </w:rPr>
        <w:t>Support the Argent LNG project through the FERC process.</w:t>
      </w:r>
    </w:p>
    <w:p w14:paraId="14BC9A47" w14:textId="77777777" w:rsidR="00A41ED3" w:rsidRDefault="00A41ED3" w:rsidP="00A3671E">
      <w:pPr>
        <w:pStyle w:val="ListParagraph"/>
        <w:numPr>
          <w:ilvl w:val="1"/>
          <w:numId w:val="3"/>
        </w:numPr>
        <w:spacing w:before="240" w:after="240"/>
        <w:rPr>
          <w:rFonts w:ascii="Aptos" w:eastAsia="Aptos" w:hAnsi="Aptos" w:cs="Aptos"/>
          <w:b/>
          <w:bCs/>
          <w:sz w:val="22"/>
          <w:szCs w:val="22"/>
        </w:rPr>
        <w:sectPr w:rsidR="00A41ED3" w:rsidSect="008B712E">
          <w:headerReference w:type="default" r:id="rId7"/>
          <w:footerReference w:type="default" r:id="rId8"/>
          <w:pgSz w:w="12240" w:h="15840"/>
          <w:pgMar w:top="1728" w:right="1152" w:bottom="1440" w:left="1440" w:header="720" w:footer="720" w:gutter="0"/>
          <w:cols w:space="720"/>
          <w:docGrid w:linePitch="360"/>
        </w:sectPr>
      </w:pPr>
    </w:p>
    <w:p w14:paraId="29C710D0" w14:textId="77777777" w:rsidR="005340BD" w:rsidRPr="005340BD" w:rsidRDefault="39E25A82" w:rsidP="00A41ED3">
      <w:pPr>
        <w:pStyle w:val="ListParagraph"/>
        <w:numPr>
          <w:ilvl w:val="1"/>
          <w:numId w:val="3"/>
        </w:numPr>
        <w:spacing w:before="240"/>
        <w:contextualSpacing w:val="0"/>
        <w:rPr>
          <w:rFonts w:ascii="Aptos" w:eastAsia="Aptos" w:hAnsi="Aptos" w:cs="Aptos"/>
          <w:color w:val="222222"/>
          <w:sz w:val="22"/>
          <w:szCs w:val="22"/>
        </w:rPr>
      </w:pPr>
      <w:r w:rsidRPr="7F51BD41">
        <w:rPr>
          <w:rFonts w:ascii="Aptos" w:eastAsia="Aptos" w:hAnsi="Aptos" w:cs="Aptos"/>
          <w:b/>
          <w:bCs/>
          <w:sz w:val="22"/>
          <w:szCs w:val="22"/>
        </w:rPr>
        <w:lastRenderedPageBreak/>
        <w:t>Port of Morgan City</w:t>
      </w:r>
      <w:r w:rsidR="021BEE59" w:rsidRPr="7F51BD41">
        <w:rPr>
          <w:rFonts w:ascii="Aptos" w:eastAsia="Aptos" w:hAnsi="Aptos" w:cs="Aptos"/>
          <w:b/>
          <w:bCs/>
          <w:sz w:val="22"/>
          <w:szCs w:val="22"/>
        </w:rPr>
        <w:t xml:space="preserve">: </w:t>
      </w:r>
    </w:p>
    <w:p w14:paraId="30D90EAA" w14:textId="65B34766" w:rsidR="1AA66729" w:rsidRPr="00A41ED3" w:rsidRDefault="021BEE59" w:rsidP="00A41ED3">
      <w:pPr>
        <w:ind w:left="1440"/>
        <w:rPr>
          <w:rFonts w:ascii="Aptos" w:eastAsia="Aptos" w:hAnsi="Aptos" w:cs="Aptos"/>
          <w:color w:val="222222"/>
          <w:sz w:val="22"/>
          <w:szCs w:val="22"/>
        </w:rPr>
      </w:pPr>
      <w:r w:rsidRPr="00A41ED3">
        <w:rPr>
          <w:rFonts w:ascii="Aptos" w:eastAsia="Aptos" w:hAnsi="Aptos" w:cs="Aptos"/>
          <w:color w:val="222222"/>
          <w:sz w:val="22"/>
          <w:szCs w:val="22"/>
        </w:rPr>
        <w:t>Continue to maintain the Federally Authorized Channel Atchafalaya River and Bayous Chene, Boeuf</w:t>
      </w:r>
      <w:r w:rsidR="00B117C7" w:rsidRPr="00A41ED3">
        <w:rPr>
          <w:rFonts w:ascii="Aptos" w:eastAsia="Aptos" w:hAnsi="Aptos" w:cs="Aptos"/>
          <w:color w:val="222222"/>
          <w:sz w:val="22"/>
          <w:szCs w:val="22"/>
        </w:rPr>
        <w:t>,</w:t>
      </w:r>
      <w:r w:rsidRPr="00A41ED3">
        <w:rPr>
          <w:rFonts w:ascii="Aptos" w:eastAsia="Aptos" w:hAnsi="Aptos" w:cs="Aptos"/>
          <w:color w:val="222222"/>
          <w:sz w:val="22"/>
          <w:szCs w:val="22"/>
        </w:rPr>
        <w:t xml:space="preserve"> and Black at its authorized 20’ depth by 400’ width to support delivery of LNG and oil and gas projects and supplies</w:t>
      </w:r>
    </w:p>
    <w:p w14:paraId="45CE46F0" w14:textId="46EDA858" w:rsidR="4AE3A2A0" w:rsidRDefault="39E25A82" w:rsidP="00A3671E">
      <w:pPr>
        <w:pStyle w:val="ListParagraph"/>
        <w:numPr>
          <w:ilvl w:val="1"/>
          <w:numId w:val="3"/>
        </w:numPr>
        <w:spacing w:before="240" w:after="240" w:line="259" w:lineRule="auto"/>
        <w:rPr>
          <w:rFonts w:ascii="Aptos" w:eastAsia="Aptos" w:hAnsi="Aptos" w:cs="Aptos"/>
          <w:sz w:val="22"/>
          <w:szCs w:val="22"/>
        </w:rPr>
      </w:pPr>
      <w:r w:rsidRPr="7F51BD41">
        <w:rPr>
          <w:rFonts w:ascii="Aptos" w:eastAsia="Aptos" w:hAnsi="Aptos" w:cs="Aptos"/>
          <w:b/>
          <w:bCs/>
          <w:sz w:val="22"/>
          <w:szCs w:val="22"/>
        </w:rPr>
        <w:t>Port of Terrebonne Parish</w:t>
      </w:r>
      <w:r w:rsidR="1AA66729">
        <w:br/>
      </w:r>
      <w:r w:rsidRPr="7F51BD41">
        <w:rPr>
          <w:rFonts w:ascii="Aptos" w:eastAsia="Aptos" w:hAnsi="Aptos" w:cs="Aptos"/>
          <w:sz w:val="22"/>
          <w:szCs w:val="22"/>
        </w:rPr>
        <w:t xml:space="preserve">Support "New Start" designation for </w:t>
      </w:r>
      <w:r w:rsidR="4AD6459C" w:rsidRPr="7F51BD41">
        <w:rPr>
          <w:rFonts w:ascii="Aptos" w:eastAsia="Aptos" w:hAnsi="Aptos" w:cs="Aptos"/>
          <w:sz w:val="22"/>
          <w:szCs w:val="22"/>
        </w:rPr>
        <w:t>the deepening the Houma Navigational Canal project</w:t>
      </w:r>
      <w:r w:rsidRPr="7F51BD41">
        <w:rPr>
          <w:rFonts w:ascii="Aptos" w:eastAsia="Aptos" w:hAnsi="Aptos" w:cs="Aptos"/>
          <w:sz w:val="22"/>
          <w:szCs w:val="22"/>
        </w:rPr>
        <w:t xml:space="preserve">. </w:t>
      </w:r>
      <w:r w:rsidR="0E2E8FF2" w:rsidRPr="7F51BD41">
        <w:rPr>
          <w:rFonts w:ascii="Aptos" w:eastAsia="Aptos" w:hAnsi="Aptos" w:cs="Aptos"/>
          <w:sz w:val="22"/>
          <w:szCs w:val="22"/>
        </w:rPr>
        <w:t>We have requested</w:t>
      </w:r>
      <w:r w:rsidRPr="7F51BD41">
        <w:rPr>
          <w:rFonts w:ascii="Aptos" w:eastAsia="Aptos" w:hAnsi="Aptos" w:cs="Aptos"/>
          <w:sz w:val="22"/>
          <w:szCs w:val="22"/>
        </w:rPr>
        <w:t xml:space="preserve"> Senator Kennedy </w:t>
      </w:r>
      <w:r w:rsidR="036D5E43" w:rsidRPr="7F51BD41">
        <w:rPr>
          <w:rFonts w:ascii="Aptos" w:eastAsia="Aptos" w:hAnsi="Aptos" w:cs="Aptos"/>
          <w:sz w:val="22"/>
          <w:szCs w:val="22"/>
        </w:rPr>
        <w:t xml:space="preserve">to include </w:t>
      </w:r>
      <w:r w:rsidRPr="7F51BD41">
        <w:rPr>
          <w:rFonts w:ascii="Aptos" w:eastAsia="Aptos" w:hAnsi="Aptos" w:cs="Aptos"/>
          <w:sz w:val="22"/>
          <w:szCs w:val="22"/>
        </w:rPr>
        <w:t>the request on the Senate Appropriations Committee agenda.</w:t>
      </w:r>
    </w:p>
    <w:p w14:paraId="06F25DAE" w14:textId="067C3D99" w:rsidR="69A8DE35" w:rsidRDefault="69A8DE35" w:rsidP="62896995">
      <w:pPr>
        <w:pStyle w:val="ListParagraph"/>
        <w:spacing w:before="240" w:after="240"/>
        <w:ind w:left="1440"/>
        <w:rPr>
          <w:rFonts w:ascii="Aptos" w:eastAsia="Aptos" w:hAnsi="Aptos" w:cs="Aptos"/>
          <w:sz w:val="22"/>
          <w:szCs w:val="22"/>
        </w:rPr>
      </w:pPr>
    </w:p>
    <w:p w14:paraId="0B2D5F23" w14:textId="02F6F312" w:rsidR="006E1A97" w:rsidRPr="00A3671E" w:rsidRDefault="5290D225" w:rsidP="49B7F314">
      <w:pPr>
        <w:pStyle w:val="ListParagraph"/>
        <w:numPr>
          <w:ilvl w:val="0"/>
          <w:numId w:val="2"/>
        </w:numPr>
        <w:spacing w:before="240" w:after="240"/>
        <w:rPr>
          <w:rFonts w:ascii="Aptos" w:eastAsia="Aptos" w:hAnsi="Aptos" w:cs="Aptos"/>
          <w:b/>
          <w:bCs/>
          <w:sz w:val="22"/>
          <w:szCs w:val="22"/>
        </w:rPr>
      </w:pPr>
      <w:r w:rsidRPr="00A3671E">
        <w:rPr>
          <w:rFonts w:eastAsiaTheme="minorEastAsia"/>
          <w:b/>
          <w:bCs/>
          <w:sz w:val="22"/>
          <w:szCs w:val="22"/>
        </w:rPr>
        <w:t>Flood Insurance Reform:</w:t>
      </w:r>
      <w:r w:rsidR="28A7246B" w:rsidRPr="00A3671E">
        <w:rPr>
          <w:rFonts w:ascii="Aptos" w:eastAsia="Aptos" w:hAnsi="Aptos" w:cs="Aptos"/>
          <w:b/>
          <w:bCs/>
          <w:sz w:val="22"/>
          <w:szCs w:val="22"/>
        </w:rPr>
        <w:t xml:space="preserve"> </w:t>
      </w:r>
    </w:p>
    <w:p w14:paraId="73682409" w14:textId="6907F24E" w:rsidR="006E1A97" w:rsidRPr="006E1A97" w:rsidRDefault="28A7246B" w:rsidP="008B712E">
      <w:pPr>
        <w:pStyle w:val="ListParagraph"/>
        <w:numPr>
          <w:ilvl w:val="1"/>
          <w:numId w:val="2"/>
        </w:numPr>
        <w:spacing w:before="240" w:after="240"/>
        <w:ind w:left="720"/>
        <w:rPr>
          <w:rFonts w:ascii="Aptos" w:eastAsia="Aptos" w:hAnsi="Aptos" w:cs="Aptos"/>
          <w:sz w:val="22"/>
          <w:szCs w:val="22"/>
        </w:rPr>
      </w:pPr>
      <w:r w:rsidRPr="7F51BD41">
        <w:rPr>
          <w:rFonts w:ascii="Aptos" w:eastAsia="Aptos" w:hAnsi="Aptos" w:cs="Aptos"/>
          <w:b/>
          <w:bCs/>
          <w:sz w:val="22"/>
          <w:szCs w:val="22"/>
        </w:rPr>
        <w:t>Background</w:t>
      </w:r>
      <w:r w:rsidR="1FA59F64" w:rsidRPr="7F51BD41">
        <w:rPr>
          <w:rFonts w:ascii="Aptos" w:eastAsia="Aptos" w:hAnsi="Aptos" w:cs="Aptos"/>
          <w:b/>
          <w:bCs/>
          <w:sz w:val="22"/>
          <w:szCs w:val="22"/>
        </w:rPr>
        <w:t xml:space="preserve">: </w:t>
      </w:r>
      <w:r w:rsidRPr="7F51BD41">
        <w:rPr>
          <w:rFonts w:ascii="Aptos" w:eastAsia="Aptos" w:hAnsi="Aptos" w:cs="Aptos"/>
          <w:sz w:val="22"/>
          <w:szCs w:val="22"/>
        </w:rPr>
        <w:t>FEMA's Risk Rating 2.0 takes a one-size-fits-all approach that does not work for a state with Louisiana's flood risk. It starts pricing at the state level, so Shreveport and Cameron share the same base risk even though one sits nowhere near a flood zone and the other sits on the Gulf. It ignores the billions of dollars</w:t>
      </w:r>
      <w:r w:rsidR="00B117C7">
        <w:rPr>
          <w:rFonts w:ascii="Aptos" w:eastAsia="Aptos" w:hAnsi="Aptos" w:cs="Aptos"/>
          <w:sz w:val="22"/>
          <w:szCs w:val="22"/>
        </w:rPr>
        <w:t xml:space="preserve"> all levels of government</w:t>
      </w:r>
      <w:r w:rsidRPr="7F51BD41">
        <w:rPr>
          <w:rFonts w:ascii="Aptos" w:eastAsia="Aptos" w:hAnsi="Aptos" w:cs="Aptos"/>
          <w:sz w:val="22"/>
          <w:szCs w:val="22"/>
        </w:rPr>
        <w:t xml:space="preserve"> </w:t>
      </w:r>
      <w:r w:rsidR="00394631" w:rsidRPr="7F51BD41">
        <w:rPr>
          <w:rFonts w:ascii="Aptos" w:eastAsia="Aptos" w:hAnsi="Aptos" w:cs="Aptos"/>
          <w:sz w:val="22"/>
          <w:szCs w:val="22"/>
        </w:rPr>
        <w:t>have</w:t>
      </w:r>
      <w:r w:rsidRPr="7F51BD41">
        <w:rPr>
          <w:rFonts w:ascii="Aptos" w:eastAsia="Aptos" w:hAnsi="Aptos" w:cs="Aptos"/>
          <w:sz w:val="22"/>
          <w:szCs w:val="22"/>
        </w:rPr>
        <w:t xml:space="preserve"> invested in </w:t>
      </w:r>
      <w:r w:rsidR="00B117C7" w:rsidRPr="7F51BD41">
        <w:rPr>
          <w:rFonts w:ascii="Aptos" w:eastAsia="Aptos" w:hAnsi="Aptos" w:cs="Aptos"/>
          <w:sz w:val="22"/>
          <w:szCs w:val="22"/>
        </w:rPr>
        <w:t xml:space="preserve">Louisiana </w:t>
      </w:r>
      <w:r w:rsidR="00B117C7">
        <w:rPr>
          <w:rFonts w:ascii="Aptos" w:eastAsia="Aptos" w:hAnsi="Aptos" w:cs="Aptos"/>
          <w:sz w:val="22"/>
          <w:szCs w:val="22"/>
        </w:rPr>
        <w:t xml:space="preserve">in </w:t>
      </w:r>
      <w:r w:rsidRPr="7F51BD41">
        <w:rPr>
          <w:rFonts w:ascii="Aptos" w:eastAsia="Aptos" w:hAnsi="Aptos" w:cs="Aptos"/>
          <w:sz w:val="22"/>
          <w:szCs w:val="22"/>
        </w:rPr>
        <w:t>flood protection since Hurricanes Katrina and Rita. Rates are rising 18 percent a year, every year, with no cap and no way to appeal. Flood insurance costs are pricing workers out of the communities that need them most, and Louisiana cannot keep supplying the nation's energy, seafood, and ships if the people who do that work can no longer afford to live here.</w:t>
      </w:r>
    </w:p>
    <w:p w14:paraId="4C049312" w14:textId="0505B824" w:rsidR="006E1A97" w:rsidRDefault="28A7246B" w:rsidP="008B712E">
      <w:pPr>
        <w:pStyle w:val="ListParagraph"/>
        <w:numPr>
          <w:ilvl w:val="1"/>
          <w:numId w:val="2"/>
        </w:numPr>
        <w:spacing w:before="240" w:after="240"/>
        <w:ind w:left="720"/>
        <w:rPr>
          <w:sz w:val="22"/>
          <w:szCs w:val="22"/>
        </w:rPr>
      </w:pPr>
      <w:r w:rsidRPr="7F51BD41">
        <w:rPr>
          <w:rFonts w:ascii="Aptos" w:eastAsia="Aptos" w:hAnsi="Aptos" w:cs="Aptos"/>
          <w:b/>
          <w:bCs/>
          <w:sz w:val="22"/>
          <w:szCs w:val="22"/>
        </w:rPr>
        <w:t>Request</w:t>
      </w:r>
      <w:r w:rsidR="4D4E146E" w:rsidRPr="7F51BD41">
        <w:rPr>
          <w:rFonts w:ascii="Aptos" w:eastAsia="Aptos" w:hAnsi="Aptos" w:cs="Aptos"/>
          <w:b/>
          <w:bCs/>
          <w:sz w:val="22"/>
          <w:szCs w:val="22"/>
        </w:rPr>
        <w:t xml:space="preserve">: </w:t>
      </w:r>
      <w:r w:rsidR="4D4E146E" w:rsidRPr="7F51BD41">
        <w:rPr>
          <w:b/>
          <w:bCs/>
          <w:sz w:val="22"/>
          <w:szCs w:val="22"/>
        </w:rPr>
        <w:t>Ask the Administration to direct FEMA to immediately revert Louisiana's flood insurance pricing from Risk Rating 2.0 back to the legacy rating method, giving Louisiana time to transition to a private flood insurance market on its own.</w:t>
      </w:r>
      <w:r w:rsidR="4D4E146E" w:rsidRPr="7F51BD41">
        <w:rPr>
          <w:sz w:val="22"/>
          <w:szCs w:val="22"/>
        </w:rPr>
        <w:t xml:space="preserve"> FEMA created Risk Rating 2.0 on its own authority, without direction from Congress, so it can reverse it the same way, immediately, without Louisiana waiting years on a legislative fix that may never come.</w:t>
      </w:r>
    </w:p>
    <w:p w14:paraId="12FEE4BC" w14:textId="77777777" w:rsidR="00A41ED3" w:rsidRPr="00A41ED3" w:rsidRDefault="00A41ED3" w:rsidP="00A41ED3">
      <w:pPr>
        <w:pStyle w:val="ListParagraph"/>
        <w:spacing w:before="240" w:after="240"/>
        <w:ind w:left="1080"/>
        <w:rPr>
          <w:sz w:val="22"/>
          <w:szCs w:val="22"/>
        </w:rPr>
      </w:pPr>
    </w:p>
    <w:p w14:paraId="4E89DECB" w14:textId="2C572FC8" w:rsidR="006E1A97" w:rsidRPr="00A3671E" w:rsidRDefault="5290D225" w:rsidP="00A3671E">
      <w:pPr>
        <w:pStyle w:val="ListParagraph"/>
        <w:numPr>
          <w:ilvl w:val="0"/>
          <w:numId w:val="2"/>
        </w:numPr>
        <w:rPr>
          <w:rFonts w:eastAsiaTheme="minorEastAsia"/>
          <w:b/>
          <w:bCs/>
          <w:sz w:val="22"/>
          <w:szCs w:val="22"/>
        </w:rPr>
      </w:pPr>
      <w:r w:rsidRPr="00A3671E">
        <w:rPr>
          <w:rFonts w:eastAsiaTheme="minorEastAsia"/>
          <w:b/>
          <w:bCs/>
          <w:sz w:val="22"/>
          <w:szCs w:val="22"/>
        </w:rPr>
        <w:t>Workforce Development:</w:t>
      </w:r>
    </w:p>
    <w:p w14:paraId="65EB4860" w14:textId="57E13E3F" w:rsidR="41B534E3" w:rsidRDefault="41B534E3" w:rsidP="7F51BD41">
      <w:pPr>
        <w:pStyle w:val="ListParagraph"/>
        <w:numPr>
          <w:ilvl w:val="0"/>
          <w:numId w:val="1"/>
        </w:numPr>
        <w:spacing w:before="240" w:after="240"/>
        <w:rPr>
          <w:rFonts w:ascii="Aptos" w:eastAsia="Aptos" w:hAnsi="Aptos" w:cs="Aptos"/>
          <w:sz w:val="22"/>
          <w:szCs w:val="22"/>
        </w:rPr>
      </w:pPr>
      <w:r w:rsidRPr="7F51BD41">
        <w:rPr>
          <w:rFonts w:ascii="Aptos" w:eastAsia="Aptos" w:hAnsi="Aptos" w:cs="Aptos"/>
          <w:b/>
          <w:bCs/>
          <w:sz w:val="22"/>
          <w:szCs w:val="22"/>
        </w:rPr>
        <w:t>Background</w:t>
      </w:r>
      <w:r w:rsidR="6E58B378" w:rsidRPr="7F51BD41">
        <w:rPr>
          <w:rFonts w:ascii="Aptos" w:eastAsia="Aptos" w:hAnsi="Aptos" w:cs="Aptos"/>
          <w:b/>
          <w:bCs/>
          <w:sz w:val="22"/>
          <w:szCs w:val="22"/>
        </w:rPr>
        <w:t xml:space="preserve">: </w:t>
      </w:r>
      <w:r w:rsidRPr="7F51BD41">
        <w:rPr>
          <w:rFonts w:ascii="Aptos" w:eastAsia="Aptos" w:hAnsi="Aptos" w:cs="Aptos"/>
          <w:sz w:val="22"/>
          <w:szCs w:val="22"/>
        </w:rPr>
        <w:t>The Bayou Region's energy</w:t>
      </w:r>
      <w:r w:rsidR="00AE77E8">
        <w:rPr>
          <w:rFonts w:ascii="Aptos" w:eastAsia="Aptos" w:hAnsi="Aptos" w:cs="Aptos"/>
          <w:sz w:val="22"/>
          <w:szCs w:val="22"/>
        </w:rPr>
        <w:t xml:space="preserve">, </w:t>
      </w:r>
      <w:r w:rsidRPr="7F51BD41">
        <w:rPr>
          <w:rFonts w:ascii="Aptos" w:eastAsia="Aptos" w:hAnsi="Aptos" w:cs="Aptos"/>
          <w:sz w:val="22"/>
          <w:szCs w:val="22"/>
        </w:rPr>
        <w:t>defense</w:t>
      </w:r>
      <w:r w:rsidR="00AE77E8">
        <w:rPr>
          <w:rFonts w:ascii="Aptos" w:eastAsia="Aptos" w:hAnsi="Aptos" w:cs="Aptos"/>
          <w:sz w:val="22"/>
          <w:szCs w:val="22"/>
        </w:rPr>
        <w:t>, and maritime</w:t>
      </w:r>
      <w:r w:rsidRPr="7F51BD41">
        <w:rPr>
          <w:rFonts w:ascii="Aptos" w:eastAsia="Aptos" w:hAnsi="Aptos" w:cs="Aptos"/>
          <w:sz w:val="22"/>
          <w:szCs w:val="22"/>
        </w:rPr>
        <w:t xml:space="preserve"> industries only work if there is a trained workforce ready to fill the jobs they create. Fletcher Technical Community College and Nicholls State University are already training the workers our industries need, from offshore safety certifications to maritime licensing to skilled trades. These institutions are proving the model works, but they cannot meet growing industry demand without the resources to expand.</w:t>
      </w:r>
    </w:p>
    <w:p w14:paraId="5E3F415A" w14:textId="4C4A7E50" w:rsidR="41B534E3" w:rsidRDefault="41B534E3" w:rsidP="7F51BD41">
      <w:pPr>
        <w:pStyle w:val="ListParagraph"/>
        <w:numPr>
          <w:ilvl w:val="0"/>
          <w:numId w:val="1"/>
        </w:numPr>
        <w:spacing w:before="240" w:after="240"/>
      </w:pPr>
      <w:r w:rsidRPr="7F51BD41">
        <w:rPr>
          <w:rFonts w:ascii="Aptos" w:eastAsia="Aptos" w:hAnsi="Aptos" w:cs="Aptos"/>
          <w:b/>
          <w:bCs/>
          <w:sz w:val="22"/>
          <w:szCs w:val="22"/>
        </w:rPr>
        <w:t>Reques</w:t>
      </w:r>
      <w:r w:rsidR="3B5C9CE1" w:rsidRPr="7F51BD41">
        <w:rPr>
          <w:rFonts w:ascii="Aptos" w:eastAsia="Aptos" w:hAnsi="Aptos" w:cs="Aptos"/>
          <w:b/>
          <w:bCs/>
          <w:sz w:val="22"/>
          <w:szCs w:val="22"/>
        </w:rPr>
        <w:t>t</w:t>
      </w:r>
      <w:r w:rsidR="3B5C9CE1" w:rsidRPr="7F51BD41">
        <w:rPr>
          <w:rFonts w:ascii="Aptos" w:eastAsia="Aptos" w:hAnsi="Aptos" w:cs="Aptos"/>
          <w:sz w:val="22"/>
          <w:szCs w:val="22"/>
        </w:rPr>
        <w:t xml:space="preserve">: </w:t>
      </w:r>
      <w:r w:rsidRPr="7F51BD41">
        <w:rPr>
          <w:rFonts w:ascii="Aptos" w:eastAsia="Aptos" w:hAnsi="Aptos" w:cs="Aptos"/>
          <w:sz w:val="22"/>
          <w:szCs w:val="22"/>
        </w:rPr>
        <w:t xml:space="preserve">Support federal funding </w:t>
      </w:r>
      <w:r w:rsidR="526D2B29" w:rsidRPr="7F51BD41">
        <w:rPr>
          <w:rFonts w:ascii="Aptos" w:eastAsia="Aptos" w:hAnsi="Aptos" w:cs="Aptos"/>
          <w:sz w:val="22"/>
          <w:szCs w:val="22"/>
        </w:rPr>
        <w:t xml:space="preserve">requests </w:t>
      </w:r>
      <w:r w:rsidRPr="7F51BD41">
        <w:rPr>
          <w:rFonts w:ascii="Aptos" w:eastAsia="Aptos" w:hAnsi="Aptos" w:cs="Aptos"/>
          <w:sz w:val="22"/>
          <w:szCs w:val="22"/>
        </w:rPr>
        <w:t>that help</w:t>
      </w:r>
      <w:r w:rsidR="1E3F4D39" w:rsidRPr="7F51BD41">
        <w:rPr>
          <w:rFonts w:ascii="Aptos" w:eastAsia="Aptos" w:hAnsi="Aptos" w:cs="Aptos"/>
          <w:sz w:val="22"/>
          <w:szCs w:val="22"/>
        </w:rPr>
        <w:t xml:space="preserve"> </w:t>
      </w:r>
      <w:r w:rsidRPr="7F51BD41">
        <w:rPr>
          <w:rFonts w:ascii="Aptos" w:eastAsia="Aptos" w:hAnsi="Aptos" w:cs="Aptos"/>
          <w:sz w:val="22"/>
          <w:szCs w:val="22"/>
        </w:rPr>
        <w:t xml:space="preserve">our region's technical colleges and universities recruit and train the workforce our energy and defense industries depend on. Without workers, we cannot sustain the businesses that support the industries that matter most to the nation: </w:t>
      </w:r>
      <w:r w:rsidR="00394631" w:rsidRPr="7F51BD41">
        <w:rPr>
          <w:rFonts w:ascii="Aptos" w:eastAsia="Aptos" w:hAnsi="Aptos" w:cs="Aptos"/>
          <w:sz w:val="22"/>
          <w:szCs w:val="22"/>
        </w:rPr>
        <w:t>energy</w:t>
      </w:r>
      <w:r w:rsidR="00394631">
        <w:rPr>
          <w:rFonts w:ascii="Aptos" w:eastAsia="Aptos" w:hAnsi="Aptos" w:cs="Aptos"/>
          <w:sz w:val="22"/>
          <w:szCs w:val="22"/>
        </w:rPr>
        <w:t>,</w:t>
      </w:r>
      <w:r w:rsidR="00394631" w:rsidRPr="7F51BD41">
        <w:rPr>
          <w:rFonts w:ascii="Aptos" w:eastAsia="Aptos" w:hAnsi="Aptos" w:cs="Aptos"/>
          <w:sz w:val="22"/>
          <w:szCs w:val="22"/>
        </w:rPr>
        <w:t xml:space="preserve"> defense</w:t>
      </w:r>
      <w:r w:rsidR="00AE77E8">
        <w:rPr>
          <w:rFonts w:ascii="Aptos" w:eastAsia="Aptos" w:hAnsi="Aptos" w:cs="Aptos"/>
          <w:sz w:val="22"/>
          <w:szCs w:val="22"/>
        </w:rPr>
        <w:t>, and maritime</w:t>
      </w:r>
      <w:r w:rsidRPr="7F51BD41">
        <w:rPr>
          <w:rFonts w:ascii="Aptos" w:eastAsia="Aptos" w:hAnsi="Aptos" w:cs="Aptos"/>
          <w:sz w:val="22"/>
          <w:szCs w:val="22"/>
        </w:rPr>
        <w:t>.</w:t>
      </w:r>
      <w:r w:rsidR="6BB50505" w:rsidRPr="7F51BD41">
        <w:rPr>
          <w:rFonts w:ascii="Aptos" w:eastAsia="Aptos" w:hAnsi="Aptos" w:cs="Aptos"/>
          <w:sz w:val="22"/>
          <w:szCs w:val="22"/>
        </w:rPr>
        <w:t xml:space="preserve"> </w:t>
      </w:r>
      <w:r w:rsidR="6BB50505" w:rsidRPr="7F51BD41">
        <w:rPr>
          <w:sz w:val="22"/>
          <w:szCs w:val="22"/>
        </w:rPr>
        <w:t>Continue support for workforce development efforts such as the $1 million appropriation for the Commercial Diving Center of Excellence at South Louisiana Community College."</w:t>
      </w:r>
    </w:p>
    <w:p w14:paraId="1F400EDE" w14:textId="7218F731" w:rsidR="24A52CC9" w:rsidRPr="00A3671E" w:rsidRDefault="24A52CC9" w:rsidP="00A3671E">
      <w:pPr>
        <w:pStyle w:val="ListParagraph"/>
        <w:numPr>
          <w:ilvl w:val="0"/>
          <w:numId w:val="1"/>
        </w:numPr>
        <w:spacing w:before="240" w:after="240"/>
        <w:rPr>
          <w:sz w:val="22"/>
          <w:szCs w:val="22"/>
        </w:rPr>
      </w:pPr>
      <w:r w:rsidRPr="00BC15FB">
        <w:rPr>
          <w:b/>
          <w:bCs/>
          <w:sz w:val="22"/>
          <w:szCs w:val="22"/>
        </w:rPr>
        <w:t>Two Fletcher requests remain in process:</w:t>
      </w:r>
      <w:r w:rsidRPr="00A3671E">
        <w:rPr>
          <w:sz w:val="22"/>
          <w:szCs w:val="22"/>
        </w:rPr>
        <w:t xml:space="preserve"> $1,732,500 for robotic welding training (requested by Congressman Higgins) and $1,500,000 for aviation maintenance training (requested by Senator Cassidy). Both cleared the House Appropriations Committee in June, but the Senate has not yet marked up its FY2027 Labor-HHS bill. The government is currently operating under a continuing resolution through December 11. We're asking that both items continue moving forward in the process.</w:t>
      </w:r>
    </w:p>
    <w:p w14:paraId="680E569C" w14:textId="77777777" w:rsidR="008B712E" w:rsidRDefault="008B712E">
      <w:pPr>
        <w:rPr>
          <w:rFonts w:ascii="Aptos" w:eastAsia="Aptos" w:hAnsi="Aptos" w:cs="Aptos"/>
          <w:b/>
          <w:bCs/>
          <w:sz w:val="22"/>
          <w:szCs w:val="22"/>
          <w:u w:val="single"/>
        </w:rPr>
      </w:pPr>
      <w:r>
        <w:rPr>
          <w:rFonts w:ascii="Aptos" w:eastAsia="Aptos" w:hAnsi="Aptos" w:cs="Aptos"/>
          <w:b/>
          <w:bCs/>
          <w:sz w:val="22"/>
          <w:szCs w:val="22"/>
          <w:u w:val="single"/>
        </w:rPr>
        <w:br w:type="page"/>
      </w:r>
    </w:p>
    <w:p w14:paraId="6BA9609C" w14:textId="6F63F080" w:rsidR="00A3671E" w:rsidRPr="00394631" w:rsidRDefault="00A3671E" w:rsidP="00A3671E">
      <w:pPr>
        <w:spacing w:before="240" w:after="240"/>
        <w:rPr>
          <w:rFonts w:ascii="Aptos" w:eastAsia="Aptos" w:hAnsi="Aptos" w:cs="Aptos"/>
          <w:b/>
          <w:bCs/>
          <w:sz w:val="22"/>
          <w:szCs w:val="22"/>
          <w:u w:val="single"/>
        </w:rPr>
      </w:pPr>
      <w:r w:rsidRPr="00394631">
        <w:rPr>
          <w:rFonts w:ascii="Aptos" w:eastAsia="Aptos" w:hAnsi="Aptos" w:cs="Aptos"/>
          <w:b/>
          <w:bCs/>
          <w:sz w:val="22"/>
          <w:szCs w:val="22"/>
          <w:u w:val="single"/>
        </w:rPr>
        <w:lastRenderedPageBreak/>
        <w:t>Additional Requests:</w:t>
      </w:r>
    </w:p>
    <w:p w14:paraId="74FEF3CA" w14:textId="1136D9D9" w:rsidR="00A3671E" w:rsidRDefault="2AE04309" w:rsidP="00A3671E">
      <w:pPr>
        <w:pStyle w:val="ListParagraph"/>
        <w:numPr>
          <w:ilvl w:val="0"/>
          <w:numId w:val="1"/>
        </w:numPr>
        <w:spacing w:before="240" w:after="240"/>
        <w:rPr>
          <w:rFonts w:ascii="Aptos" w:eastAsia="Aptos" w:hAnsi="Aptos" w:cs="Aptos"/>
          <w:sz w:val="22"/>
          <w:szCs w:val="22"/>
        </w:rPr>
      </w:pPr>
      <w:r w:rsidRPr="009A2A98">
        <w:rPr>
          <w:rFonts w:ascii="Aptos" w:eastAsia="Aptos" w:hAnsi="Aptos" w:cs="Aptos"/>
          <w:b/>
          <w:bCs/>
          <w:sz w:val="22"/>
          <w:szCs w:val="22"/>
        </w:rPr>
        <w:t>Early Head Start (Lafourche Parish)</w:t>
      </w:r>
      <w:r w:rsidR="23AC1039" w:rsidRPr="009A2A98">
        <w:rPr>
          <w:rFonts w:ascii="Aptos" w:eastAsia="Aptos" w:hAnsi="Aptos" w:cs="Aptos"/>
          <w:b/>
          <w:bCs/>
          <w:sz w:val="22"/>
          <w:szCs w:val="22"/>
        </w:rPr>
        <w:t xml:space="preserve">: </w:t>
      </w:r>
      <w:r w:rsidRPr="009A2A98">
        <w:rPr>
          <w:rFonts w:ascii="Aptos" w:eastAsia="Aptos" w:hAnsi="Aptos" w:cs="Aptos"/>
          <w:sz w:val="22"/>
          <w:szCs w:val="22"/>
        </w:rPr>
        <w:t xml:space="preserve">Lafourche Parish has operated a successful Head Start program since 1991, but there is no comparable federal program serving pregnant women, infants, and toddlers. More than 1,658 children under age five live in poverty in the parish, and six of nine council districts remain child-care deserts. This is a workforce issue too: unreliable </w:t>
      </w:r>
      <w:r w:rsidR="00394631" w:rsidRPr="009A2A98">
        <w:rPr>
          <w:rFonts w:ascii="Aptos" w:eastAsia="Aptos" w:hAnsi="Aptos" w:cs="Aptos"/>
          <w:sz w:val="22"/>
          <w:szCs w:val="22"/>
        </w:rPr>
        <w:t>childcare</w:t>
      </w:r>
      <w:r w:rsidRPr="009A2A98">
        <w:rPr>
          <w:rFonts w:ascii="Aptos" w:eastAsia="Aptos" w:hAnsi="Aptos" w:cs="Aptos"/>
          <w:sz w:val="22"/>
          <w:szCs w:val="22"/>
        </w:rPr>
        <w:t xml:space="preserve"> costs Louisiana </w:t>
      </w:r>
      <w:proofErr w:type="gramStart"/>
      <w:r w:rsidRPr="009A2A98">
        <w:rPr>
          <w:rFonts w:ascii="Aptos" w:eastAsia="Aptos" w:hAnsi="Aptos" w:cs="Aptos"/>
          <w:sz w:val="22"/>
          <w:szCs w:val="22"/>
        </w:rPr>
        <w:t>employers</w:t>
      </w:r>
      <w:proofErr w:type="gramEnd"/>
      <w:r w:rsidRPr="009A2A98">
        <w:rPr>
          <w:rFonts w:ascii="Aptos" w:eastAsia="Aptos" w:hAnsi="Aptos" w:cs="Aptos"/>
          <w:sz w:val="22"/>
          <w:szCs w:val="22"/>
        </w:rPr>
        <w:t xml:space="preserve"> an estimated $760 million a year in absences and turnover. Lafourche cannot even apply for Early Head Start funding because current federal service areas don't include the </w:t>
      </w:r>
      <w:r w:rsidR="00AE77E8" w:rsidRPr="009A2A98">
        <w:rPr>
          <w:rFonts w:ascii="Aptos" w:eastAsia="Aptos" w:hAnsi="Aptos" w:cs="Aptos"/>
          <w:sz w:val="22"/>
          <w:szCs w:val="22"/>
        </w:rPr>
        <w:t>P</w:t>
      </w:r>
      <w:r w:rsidRPr="009A2A98">
        <w:rPr>
          <w:rFonts w:ascii="Aptos" w:eastAsia="Aptos" w:hAnsi="Aptos" w:cs="Aptos"/>
          <w:sz w:val="22"/>
          <w:szCs w:val="22"/>
        </w:rPr>
        <w:t>arish. We're asking Congress to help create a clear pathway, through a future funding opportunity, dedicated expansion funding, or a lawful service-area change, for Lafourche Parish to compete.</w:t>
      </w:r>
      <w:r w:rsidR="00AC4610" w:rsidRPr="009A2A98">
        <w:rPr>
          <w:rFonts w:ascii="Aptos" w:eastAsia="Aptos" w:hAnsi="Aptos" w:cs="Aptos"/>
          <w:sz w:val="22"/>
          <w:szCs w:val="22"/>
        </w:rPr>
        <w:t xml:space="preserve"> </w:t>
      </w:r>
      <w:r w:rsidR="009A2A98">
        <w:rPr>
          <w:rFonts w:ascii="Aptos" w:eastAsia="Aptos" w:hAnsi="Aptos" w:cs="Aptos"/>
          <w:sz w:val="22"/>
          <w:szCs w:val="22"/>
        </w:rPr>
        <w:t xml:space="preserve">Contact: Deanna Lafont, </w:t>
      </w:r>
      <w:hyperlink r:id="rId9" w:history="1">
        <w:r w:rsidR="0059019A" w:rsidRPr="00345FF2">
          <w:rPr>
            <w:rStyle w:val="Hyperlink"/>
            <w:rFonts w:ascii="Aptos" w:eastAsia="Aptos" w:hAnsi="Aptos" w:cs="Aptos"/>
            <w:sz w:val="22"/>
            <w:szCs w:val="22"/>
          </w:rPr>
          <w:t>lafonddd@lafourchgov.org</w:t>
        </w:r>
      </w:hyperlink>
      <w:r w:rsidR="0059019A">
        <w:rPr>
          <w:rFonts w:ascii="Aptos" w:eastAsia="Aptos" w:hAnsi="Aptos" w:cs="Aptos"/>
          <w:sz w:val="22"/>
          <w:szCs w:val="22"/>
        </w:rPr>
        <w:t xml:space="preserve">, 985.688.4662. </w:t>
      </w:r>
    </w:p>
    <w:p w14:paraId="292E7CDA" w14:textId="77777777" w:rsidR="009A2A98" w:rsidRPr="009A2A98" w:rsidRDefault="009A2A98" w:rsidP="009A2A98">
      <w:pPr>
        <w:pStyle w:val="ListParagraph"/>
        <w:spacing w:before="240" w:after="240"/>
        <w:rPr>
          <w:rFonts w:ascii="Aptos" w:eastAsia="Aptos" w:hAnsi="Aptos" w:cs="Aptos"/>
          <w:sz w:val="22"/>
          <w:szCs w:val="22"/>
        </w:rPr>
      </w:pPr>
    </w:p>
    <w:p w14:paraId="44FA07B6" w14:textId="1B660176" w:rsidR="00A3671E" w:rsidRPr="009A2A98" w:rsidRDefault="716F8C7E" w:rsidP="009A2A98">
      <w:pPr>
        <w:pStyle w:val="ListParagraph"/>
        <w:numPr>
          <w:ilvl w:val="0"/>
          <w:numId w:val="1"/>
        </w:numPr>
        <w:spacing w:before="240" w:after="240"/>
        <w:rPr>
          <w:rFonts w:ascii="Aptos" w:eastAsia="Aptos" w:hAnsi="Aptos" w:cs="Aptos"/>
          <w:sz w:val="22"/>
          <w:szCs w:val="22"/>
          <w:rPrChange w:id="0" w:author="" w16du:dateUtc="2026-09-17T19:53:00Z">
            <w:rPr>
              <w:sz w:val="22"/>
              <w:szCs w:val="22"/>
            </w:rPr>
          </w:rPrChange>
        </w:rPr>
      </w:pPr>
      <w:r w:rsidRPr="716F8C7E">
        <w:rPr>
          <w:b/>
          <w:bCs/>
          <w:sz w:val="22"/>
          <w:szCs w:val="22"/>
        </w:rPr>
        <w:t>Morganza Action Coalition</w:t>
      </w:r>
      <w:r w:rsidRPr="716F8C7E">
        <w:rPr>
          <w:sz w:val="22"/>
          <w:szCs w:val="22"/>
        </w:rPr>
        <w:t>: Urge passage of all appropriations measures this year, including the full $245 million CPRA requested for the GIWW flood gates. The House included $162 million; the Senate has an opportunity to fund the rest. Also urge passage of the WRDA reauthorization with reforms to speed up project delivery, now that both the House and Senate committees have reported their measures out of committee with little time left on the calendar.</w:t>
      </w:r>
      <w:r w:rsidR="009A2A98" w:rsidRPr="009A2A98">
        <w:rPr>
          <w:rFonts w:ascii="Aptos" w:eastAsia="Aptos" w:hAnsi="Aptos" w:cs="Aptos"/>
          <w:sz w:val="22"/>
          <w:szCs w:val="22"/>
        </w:rPr>
        <w:t xml:space="preserve"> </w:t>
      </w:r>
      <w:r w:rsidR="009A2A98">
        <w:rPr>
          <w:rFonts w:ascii="Aptos" w:eastAsia="Aptos" w:hAnsi="Aptos" w:cs="Aptos"/>
          <w:sz w:val="22"/>
          <w:szCs w:val="22"/>
        </w:rPr>
        <w:t xml:space="preserve">Contact: Henri Boulet, </w:t>
      </w:r>
      <w:hyperlink r:id="rId10" w:history="1">
        <w:r w:rsidR="009A2A98" w:rsidRPr="00345FF2">
          <w:rPr>
            <w:rStyle w:val="Hyperlink"/>
            <w:rFonts w:ascii="Aptos" w:eastAsia="Aptos" w:hAnsi="Aptos" w:cs="Aptos"/>
            <w:sz w:val="22"/>
            <w:szCs w:val="22"/>
          </w:rPr>
          <w:t>henri.boulet@nicholls.edu</w:t>
        </w:r>
      </w:hyperlink>
      <w:r w:rsidR="009A2A98">
        <w:rPr>
          <w:rFonts w:ascii="Aptos" w:eastAsia="Aptos" w:hAnsi="Aptos" w:cs="Aptos"/>
          <w:sz w:val="22"/>
          <w:szCs w:val="22"/>
        </w:rPr>
        <w:t xml:space="preserve">, 985.258.1399 </w:t>
      </w:r>
    </w:p>
    <w:p w14:paraId="27BA1625" w14:textId="77777777" w:rsidR="00781552" w:rsidRPr="00781552" w:rsidRDefault="00781552" w:rsidP="716F8C7E">
      <w:pPr>
        <w:pStyle w:val="ListParagraph"/>
        <w:rPr>
          <w:rFonts w:ascii="Aptos" w:eastAsia="Aptos" w:hAnsi="Aptos" w:cs="Aptos"/>
          <w:sz w:val="22"/>
          <w:szCs w:val="22"/>
          <w:rPrChange w:id="1" w:author="" w16du:dateUtc="2026-09-17T19:53:00Z">
            <w:rPr/>
          </w:rPrChange>
        </w:rPr>
      </w:pPr>
    </w:p>
    <w:p w14:paraId="65FB6114" w14:textId="7B641404" w:rsidR="006E1A97" w:rsidRPr="00985061" w:rsidRDefault="716F8C7E" w:rsidP="00A41ED3">
      <w:pPr>
        <w:pStyle w:val="ListParagraph"/>
        <w:numPr>
          <w:ilvl w:val="0"/>
          <w:numId w:val="5"/>
        </w:numPr>
        <w:rPr>
          <w:rFonts w:eastAsiaTheme="minorEastAsia"/>
          <w:sz w:val="22"/>
          <w:szCs w:val="22"/>
        </w:rPr>
      </w:pPr>
      <w:r w:rsidRPr="00A41ED3">
        <w:rPr>
          <w:rFonts w:ascii="Aptos" w:eastAsia="Aptos" w:hAnsi="Aptos" w:cs="Aptos"/>
          <w:b/>
          <w:bCs/>
          <w:sz w:val="22"/>
          <w:szCs w:val="22"/>
        </w:rPr>
        <w:t xml:space="preserve">Atchafalaya River Coastal Hub (ARCH) — Morgan City, Louisiana: </w:t>
      </w:r>
      <w:r w:rsidRPr="00A41ED3">
        <w:rPr>
          <w:rFonts w:ascii="Aptos" w:eastAsia="Aptos" w:hAnsi="Aptos" w:cs="Aptos"/>
          <w:sz w:val="22"/>
          <w:szCs w:val="22"/>
        </w:rPr>
        <w:t>St. Mary Excel,</w:t>
      </w:r>
      <w:r w:rsidR="00203097">
        <w:rPr>
          <w:rFonts w:ascii="Aptos" w:eastAsia="Aptos" w:hAnsi="Aptos" w:cs="Aptos"/>
          <w:sz w:val="22"/>
          <w:szCs w:val="22"/>
        </w:rPr>
        <w:t xml:space="preserve"> Inc.</w:t>
      </w:r>
      <w:r w:rsidRPr="00A41ED3">
        <w:rPr>
          <w:rFonts w:ascii="Aptos" w:eastAsia="Aptos" w:hAnsi="Aptos" w:cs="Aptos"/>
          <w:sz w:val="22"/>
          <w:szCs w:val="22"/>
        </w:rPr>
        <w:t xml:space="preserve"> in partnership with the St. Mary Levee District and AIC, is developing the Atchafalaya River Coastal Hub, a coastal resilience facility on the Morgan City riverfront. The strategic plan was completed in August 2025 with more than thirty partner organizations, and a locally funded </w:t>
      </w:r>
      <w:r w:rsidR="00AC74D5">
        <w:rPr>
          <w:rFonts w:ascii="Aptos" w:eastAsia="Aptos" w:hAnsi="Aptos" w:cs="Aptos"/>
          <w:sz w:val="22"/>
          <w:szCs w:val="22"/>
        </w:rPr>
        <w:t xml:space="preserve">preliminary </w:t>
      </w:r>
      <w:r w:rsidRPr="00A41ED3">
        <w:rPr>
          <w:rFonts w:ascii="Aptos" w:eastAsia="Aptos" w:hAnsi="Aptos" w:cs="Aptos"/>
          <w:sz w:val="22"/>
          <w:szCs w:val="22"/>
        </w:rPr>
        <w:t xml:space="preserve">engineering report underway now will make the project shovel-ready this winter. Total project cost is estimated at $12,750,000. We're </w:t>
      </w:r>
      <w:r w:rsidR="00A41ED3">
        <w:rPr>
          <w:rFonts w:ascii="Aptos" w:eastAsia="Aptos" w:hAnsi="Aptos" w:cs="Aptos"/>
          <w:sz w:val="22"/>
          <w:szCs w:val="22"/>
        </w:rPr>
        <w:t xml:space="preserve">asking </w:t>
      </w:r>
      <w:r w:rsidRPr="00A41ED3">
        <w:rPr>
          <w:rFonts w:ascii="Aptos" w:eastAsia="Aptos" w:hAnsi="Aptos" w:cs="Aptos"/>
          <w:sz w:val="22"/>
          <w:szCs w:val="22"/>
        </w:rPr>
        <w:t>the delegation to recognize the Atchafalaya at the federal level by supporting ARCH, work with CPRA on funding the</w:t>
      </w:r>
      <w:r w:rsidR="003720D2">
        <w:rPr>
          <w:rFonts w:ascii="Aptos" w:eastAsia="Aptos" w:hAnsi="Aptos" w:cs="Aptos"/>
          <w:sz w:val="22"/>
          <w:szCs w:val="22"/>
        </w:rPr>
        <w:t xml:space="preserve"> ARCH</w:t>
      </w:r>
      <w:r w:rsidRPr="00A41ED3">
        <w:rPr>
          <w:rFonts w:ascii="Aptos" w:eastAsia="Aptos" w:hAnsi="Aptos" w:cs="Aptos"/>
          <w:sz w:val="22"/>
          <w:szCs w:val="22"/>
        </w:rPr>
        <w:t xml:space="preserve"> building, and restore a U.S. Army Corps of Engineers presence in Morgan City, housed within ARCH,</w:t>
      </w:r>
      <w:r w:rsidRPr="00A41ED3">
        <w:rPr>
          <w:rFonts w:eastAsiaTheme="minorEastAsia"/>
          <w:i/>
          <w:iCs/>
          <w:sz w:val="22"/>
          <w:szCs w:val="22"/>
        </w:rPr>
        <w:t xml:space="preserve"> restoring the branch office the Corps maintained since the 1940s.</w:t>
      </w:r>
      <w:r w:rsidR="00985061">
        <w:rPr>
          <w:rFonts w:eastAsiaTheme="minorEastAsia"/>
          <w:i/>
          <w:iCs/>
          <w:sz w:val="22"/>
          <w:szCs w:val="22"/>
        </w:rPr>
        <w:t xml:space="preserve"> </w:t>
      </w:r>
      <w:r w:rsidR="00985061" w:rsidRPr="00985061">
        <w:rPr>
          <w:rFonts w:eastAsiaTheme="minorEastAsia"/>
          <w:sz w:val="22"/>
          <w:szCs w:val="22"/>
        </w:rPr>
        <w:t xml:space="preserve">Contact: Monica L. Mancuso, Ph.D., </w:t>
      </w:r>
      <w:hyperlink r:id="rId11" w:history="1">
        <w:r w:rsidR="00985061" w:rsidRPr="00985061">
          <w:rPr>
            <w:rStyle w:val="Hyperlink"/>
            <w:rFonts w:eastAsiaTheme="minorEastAsia"/>
            <w:sz w:val="22"/>
            <w:szCs w:val="22"/>
          </w:rPr>
          <w:t>info@stmaryexcel.com</w:t>
        </w:r>
      </w:hyperlink>
      <w:r w:rsidR="00985061" w:rsidRPr="00985061">
        <w:rPr>
          <w:rFonts w:eastAsiaTheme="minorEastAsia"/>
          <w:sz w:val="22"/>
          <w:szCs w:val="22"/>
        </w:rPr>
        <w:t>, 985.518.2009.</w:t>
      </w:r>
    </w:p>
    <w:p w14:paraId="71638E71" w14:textId="77777777" w:rsidR="00203097" w:rsidRDefault="00203097" w:rsidP="00203097">
      <w:pPr>
        <w:rPr>
          <w:rFonts w:eastAsiaTheme="minorEastAsia"/>
          <w:sz w:val="22"/>
          <w:szCs w:val="22"/>
        </w:rPr>
      </w:pPr>
    </w:p>
    <w:p w14:paraId="4F855A23" w14:textId="77777777" w:rsidR="00203097" w:rsidRDefault="00203097" w:rsidP="00203097">
      <w:pPr>
        <w:rPr>
          <w:rFonts w:eastAsiaTheme="minorEastAsia"/>
          <w:i/>
          <w:iCs/>
          <w:sz w:val="22"/>
          <w:szCs w:val="22"/>
        </w:rPr>
      </w:pPr>
    </w:p>
    <w:p w14:paraId="5793A491" w14:textId="77777777" w:rsidR="00314CB0" w:rsidRDefault="00314CB0" w:rsidP="00203097">
      <w:pPr>
        <w:rPr>
          <w:rFonts w:eastAsiaTheme="minorEastAsia"/>
          <w:i/>
          <w:iCs/>
          <w:sz w:val="22"/>
          <w:szCs w:val="22"/>
        </w:rPr>
      </w:pPr>
    </w:p>
    <w:p w14:paraId="6DFC0FC5" w14:textId="77777777" w:rsidR="00454DFF" w:rsidRDefault="00454DFF" w:rsidP="00203097">
      <w:pPr>
        <w:rPr>
          <w:rFonts w:eastAsiaTheme="minorEastAsia"/>
          <w:i/>
          <w:iCs/>
          <w:sz w:val="22"/>
          <w:szCs w:val="22"/>
        </w:rPr>
      </w:pPr>
    </w:p>
    <w:p w14:paraId="6BA33754" w14:textId="77777777" w:rsidR="00454DFF" w:rsidRDefault="00454DFF" w:rsidP="00203097">
      <w:pPr>
        <w:rPr>
          <w:rFonts w:eastAsiaTheme="minorEastAsia"/>
          <w:i/>
          <w:iCs/>
          <w:sz w:val="22"/>
          <w:szCs w:val="22"/>
        </w:rPr>
      </w:pPr>
    </w:p>
    <w:p w14:paraId="0A7878EC" w14:textId="79F5F41F" w:rsidR="00314CB0" w:rsidRPr="00454DFF" w:rsidRDefault="00314CB0" w:rsidP="00203097">
      <w:pPr>
        <w:rPr>
          <w:rFonts w:eastAsiaTheme="minorEastAsia"/>
          <w:i/>
          <w:iCs/>
          <w:sz w:val="22"/>
          <w:szCs w:val="22"/>
        </w:rPr>
      </w:pPr>
      <w:r w:rsidRPr="00454DFF">
        <w:rPr>
          <w:rFonts w:eastAsiaTheme="minorEastAsia"/>
          <w:i/>
          <w:iCs/>
          <w:sz w:val="22"/>
          <w:szCs w:val="22"/>
        </w:rPr>
        <w:t>Contact Information:</w:t>
      </w:r>
    </w:p>
    <w:p w14:paraId="26D5ACD9" w14:textId="677DE534" w:rsidR="00454DFF" w:rsidRDefault="00454DFF" w:rsidP="00203097">
      <w:pPr>
        <w:rPr>
          <w:rFonts w:eastAsiaTheme="minorEastAsia"/>
          <w:sz w:val="22"/>
          <w:szCs w:val="22"/>
        </w:rPr>
      </w:pPr>
      <w:r>
        <w:rPr>
          <w:rFonts w:eastAsiaTheme="minorEastAsia"/>
          <w:sz w:val="22"/>
          <w:szCs w:val="22"/>
        </w:rPr>
        <w:t>Lori LeBlanc</w:t>
      </w:r>
    </w:p>
    <w:p w14:paraId="15064946" w14:textId="65DB5823" w:rsidR="00454DFF" w:rsidRDefault="00454DFF" w:rsidP="00203097">
      <w:pPr>
        <w:rPr>
          <w:rFonts w:eastAsiaTheme="minorEastAsia"/>
          <w:sz w:val="22"/>
          <w:szCs w:val="22"/>
        </w:rPr>
      </w:pPr>
      <w:r>
        <w:rPr>
          <w:rFonts w:eastAsiaTheme="minorEastAsia"/>
          <w:sz w:val="22"/>
          <w:szCs w:val="22"/>
        </w:rPr>
        <w:t>COLAB, Director of Industry Relations</w:t>
      </w:r>
    </w:p>
    <w:p w14:paraId="322FC0DA" w14:textId="48DF4AAA" w:rsidR="00454DFF" w:rsidRPr="00314CB0" w:rsidRDefault="00454DFF" w:rsidP="00203097">
      <w:pPr>
        <w:rPr>
          <w:rFonts w:eastAsiaTheme="minorEastAsia"/>
          <w:sz w:val="22"/>
          <w:szCs w:val="22"/>
          <w:rPrChange w:id="2" w:author="" w16du:dateUtc="2026-09-17T19:56:00Z">
            <w:rPr/>
          </w:rPrChange>
        </w:rPr>
      </w:pPr>
      <w:hyperlink r:id="rId12" w:history="1">
        <w:r w:rsidRPr="00345FF2">
          <w:rPr>
            <w:rStyle w:val="Hyperlink"/>
            <w:rFonts w:eastAsiaTheme="minorEastAsia"/>
            <w:sz w:val="22"/>
            <w:szCs w:val="22"/>
          </w:rPr>
          <w:t>lori@bayouregion.com</w:t>
        </w:r>
      </w:hyperlink>
      <w:r>
        <w:rPr>
          <w:rFonts w:eastAsiaTheme="minorEastAsia"/>
          <w:sz w:val="22"/>
          <w:szCs w:val="22"/>
        </w:rPr>
        <w:t>, o: 985.448.4485, c: 985.209.7932</w:t>
      </w:r>
    </w:p>
    <w:sectPr w:rsidR="00454DFF" w:rsidRPr="00314CB0" w:rsidSect="00A41ED3">
      <w:pgSz w:w="12240" w:h="15840"/>
      <w:pgMar w:top="1728" w:right="1152"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DBE5A" w14:textId="77777777" w:rsidR="00E53B3F" w:rsidRDefault="00E53B3F" w:rsidP="006E1A97">
      <w:r>
        <w:separator/>
      </w:r>
    </w:p>
  </w:endnote>
  <w:endnote w:type="continuationSeparator" w:id="0">
    <w:p w14:paraId="6E928FB7" w14:textId="77777777" w:rsidR="00E53B3F" w:rsidRDefault="00E53B3F" w:rsidP="006E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210043"/>
      <w:docPartObj>
        <w:docPartGallery w:val="Page Numbers (Bottom of Page)"/>
        <w:docPartUnique/>
      </w:docPartObj>
    </w:sdtPr>
    <w:sdtEndPr>
      <w:rPr>
        <w:sz w:val="22"/>
        <w:szCs w:val="22"/>
      </w:rPr>
    </w:sdtEndPr>
    <w:sdtContent>
      <w:sdt>
        <w:sdtPr>
          <w:id w:val="1728636285"/>
          <w:docPartObj>
            <w:docPartGallery w:val="Page Numbers (Top of Page)"/>
            <w:docPartUnique/>
          </w:docPartObj>
        </w:sdtPr>
        <w:sdtEndPr>
          <w:rPr>
            <w:sz w:val="22"/>
            <w:szCs w:val="22"/>
          </w:rPr>
        </w:sdtEndPr>
        <w:sdtContent>
          <w:p w14:paraId="06EDDB98" w14:textId="585EA4BE" w:rsidR="00EA48DB" w:rsidRPr="00EA48DB" w:rsidRDefault="00EA48DB">
            <w:pPr>
              <w:pStyle w:val="Footer"/>
              <w:jc w:val="center"/>
              <w:rPr>
                <w:sz w:val="22"/>
                <w:szCs w:val="22"/>
              </w:rPr>
            </w:pPr>
            <w:r w:rsidRPr="00EA48DB">
              <w:rPr>
                <w:sz w:val="22"/>
                <w:szCs w:val="22"/>
              </w:rPr>
              <w:t xml:space="preserve">Page </w:t>
            </w:r>
            <w:r w:rsidRPr="00EA48DB">
              <w:rPr>
                <w:sz w:val="22"/>
                <w:szCs w:val="22"/>
              </w:rPr>
              <w:fldChar w:fldCharType="begin"/>
            </w:r>
            <w:r w:rsidRPr="00EA48DB">
              <w:rPr>
                <w:sz w:val="22"/>
                <w:szCs w:val="22"/>
              </w:rPr>
              <w:instrText xml:space="preserve"> PAGE </w:instrText>
            </w:r>
            <w:r w:rsidRPr="00EA48DB">
              <w:rPr>
                <w:sz w:val="22"/>
                <w:szCs w:val="22"/>
              </w:rPr>
              <w:fldChar w:fldCharType="separate"/>
            </w:r>
            <w:r w:rsidRPr="00EA48DB">
              <w:rPr>
                <w:noProof/>
                <w:sz w:val="22"/>
                <w:szCs w:val="22"/>
              </w:rPr>
              <w:t>2</w:t>
            </w:r>
            <w:r w:rsidRPr="00EA48DB">
              <w:rPr>
                <w:sz w:val="22"/>
                <w:szCs w:val="22"/>
              </w:rPr>
              <w:fldChar w:fldCharType="end"/>
            </w:r>
            <w:r w:rsidRPr="00EA48DB">
              <w:rPr>
                <w:sz w:val="22"/>
                <w:szCs w:val="22"/>
              </w:rPr>
              <w:t xml:space="preserve"> of </w:t>
            </w:r>
            <w:r w:rsidRPr="00EA48DB">
              <w:rPr>
                <w:sz w:val="22"/>
                <w:szCs w:val="22"/>
              </w:rPr>
              <w:fldChar w:fldCharType="begin"/>
            </w:r>
            <w:r w:rsidRPr="00EA48DB">
              <w:rPr>
                <w:sz w:val="22"/>
                <w:szCs w:val="22"/>
              </w:rPr>
              <w:instrText xml:space="preserve"> NUMPAGES  </w:instrText>
            </w:r>
            <w:r w:rsidRPr="00EA48DB">
              <w:rPr>
                <w:sz w:val="22"/>
                <w:szCs w:val="22"/>
              </w:rPr>
              <w:fldChar w:fldCharType="separate"/>
            </w:r>
            <w:r w:rsidRPr="00EA48DB">
              <w:rPr>
                <w:noProof/>
                <w:sz w:val="22"/>
                <w:szCs w:val="22"/>
              </w:rPr>
              <w:t>2</w:t>
            </w:r>
            <w:r w:rsidRPr="00EA48DB">
              <w:rPr>
                <w:sz w:val="22"/>
                <w:szCs w:val="22"/>
              </w:rPr>
              <w:fldChar w:fldCharType="end"/>
            </w:r>
          </w:p>
        </w:sdtContent>
      </w:sdt>
    </w:sdtContent>
  </w:sdt>
  <w:p w14:paraId="772B9484" w14:textId="2397BFE9" w:rsidR="001A6875" w:rsidRDefault="001A6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79AC6" w14:textId="77777777" w:rsidR="00E53B3F" w:rsidRDefault="00E53B3F" w:rsidP="006E1A97">
      <w:r>
        <w:separator/>
      </w:r>
    </w:p>
  </w:footnote>
  <w:footnote w:type="continuationSeparator" w:id="0">
    <w:p w14:paraId="0E756164" w14:textId="77777777" w:rsidR="00E53B3F" w:rsidRDefault="00E53B3F" w:rsidP="006E1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0084" w14:textId="1D780A99" w:rsidR="006E1A97" w:rsidRDefault="2EDBC379">
    <w:pPr>
      <w:pStyle w:val="Header"/>
    </w:pPr>
    <w:r>
      <w:rPr>
        <w:noProof/>
      </w:rPr>
      <w:drawing>
        <wp:inline distT="0" distB="0" distL="0" distR="0" wp14:anchorId="62BF9324" wp14:editId="368D50E3">
          <wp:extent cx="5943600" cy="400050"/>
          <wp:effectExtent l="0" t="0" r="0" b="0"/>
          <wp:docPr id="1261164332" name="drawing">
            <a:extLst xmlns:a="http://schemas.openxmlformats.org/drawingml/2006/main">
              <a:ext uri="{FF2B5EF4-FFF2-40B4-BE49-F238E27FC236}">
                <a16:creationId xmlns:a16="http://schemas.microsoft.com/office/drawing/2014/main" id="{8DFF2419-713A-4519-9380-CF4F02A231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64332" name="Picture 1261164332"/>
                  <pic:cNvPicPr/>
                </pic:nvPicPr>
                <pic:blipFill>
                  <a:blip r:embed="rId1">
                    <a:extLst>
                      <a:ext uri="{28A0092B-C50C-407E-A947-70E740481C1C}">
                        <a14:useLocalDpi xmlns:a14="http://schemas.microsoft.com/office/drawing/2010/main"/>
                      </a:ext>
                    </a:extLst>
                  </a:blip>
                  <a:stretch>
                    <a:fillRect/>
                  </a:stretch>
                </pic:blipFill>
                <pic:spPr>
                  <a:xfrm>
                    <a:off x="0" y="0"/>
                    <a:ext cx="5943600" cy="4000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50896"/>
    <w:multiLevelType w:val="hybridMultilevel"/>
    <w:tmpl w:val="0BCE1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23205"/>
    <w:multiLevelType w:val="hybridMultilevel"/>
    <w:tmpl w:val="FFFFFFFF"/>
    <w:lvl w:ilvl="0" w:tplc="2ADE0F9E">
      <w:start w:val="1"/>
      <w:numFmt w:val="bullet"/>
      <w:lvlText w:val=""/>
      <w:lvlJc w:val="left"/>
      <w:pPr>
        <w:ind w:left="720" w:hanging="360"/>
      </w:pPr>
      <w:rPr>
        <w:rFonts w:ascii="Symbol" w:hAnsi="Symbol" w:hint="default"/>
      </w:rPr>
    </w:lvl>
    <w:lvl w:ilvl="1" w:tplc="917CAA4A">
      <w:start w:val="1"/>
      <w:numFmt w:val="bullet"/>
      <w:lvlText w:val="o"/>
      <w:lvlJc w:val="left"/>
      <w:pPr>
        <w:ind w:left="1440" w:hanging="360"/>
      </w:pPr>
      <w:rPr>
        <w:rFonts w:ascii="Courier New" w:hAnsi="Courier New" w:hint="default"/>
      </w:rPr>
    </w:lvl>
    <w:lvl w:ilvl="2" w:tplc="4FD4D1E0">
      <w:start w:val="1"/>
      <w:numFmt w:val="bullet"/>
      <w:lvlText w:val=""/>
      <w:lvlJc w:val="left"/>
      <w:pPr>
        <w:ind w:left="2160" w:hanging="360"/>
      </w:pPr>
      <w:rPr>
        <w:rFonts w:ascii="Wingdings" w:hAnsi="Wingdings" w:hint="default"/>
      </w:rPr>
    </w:lvl>
    <w:lvl w:ilvl="3" w:tplc="2196E942">
      <w:start w:val="1"/>
      <w:numFmt w:val="bullet"/>
      <w:lvlText w:val=""/>
      <w:lvlJc w:val="left"/>
      <w:pPr>
        <w:ind w:left="2880" w:hanging="360"/>
      </w:pPr>
      <w:rPr>
        <w:rFonts w:ascii="Symbol" w:hAnsi="Symbol" w:hint="default"/>
      </w:rPr>
    </w:lvl>
    <w:lvl w:ilvl="4" w:tplc="16ECB528">
      <w:start w:val="1"/>
      <w:numFmt w:val="bullet"/>
      <w:lvlText w:val="o"/>
      <w:lvlJc w:val="left"/>
      <w:pPr>
        <w:ind w:left="3600" w:hanging="360"/>
      </w:pPr>
      <w:rPr>
        <w:rFonts w:ascii="Courier New" w:hAnsi="Courier New" w:hint="default"/>
      </w:rPr>
    </w:lvl>
    <w:lvl w:ilvl="5" w:tplc="70862A9E">
      <w:start w:val="1"/>
      <w:numFmt w:val="bullet"/>
      <w:lvlText w:val=""/>
      <w:lvlJc w:val="left"/>
      <w:pPr>
        <w:ind w:left="4320" w:hanging="360"/>
      </w:pPr>
      <w:rPr>
        <w:rFonts w:ascii="Wingdings" w:hAnsi="Wingdings" w:hint="default"/>
      </w:rPr>
    </w:lvl>
    <w:lvl w:ilvl="6" w:tplc="3918B5E4">
      <w:start w:val="1"/>
      <w:numFmt w:val="bullet"/>
      <w:lvlText w:val=""/>
      <w:lvlJc w:val="left"/>
      <w:pPr>
        <w:ind w:left="5040" w:hanging="360"/>
      </w:pPr>
      <w:rPr>
        <w:rFonts w:ascii="Symbol" w:hAnsi="Symbol" w:hint="default"/>
      </w:rPr>
    </w:lvl>
    <w:lvl w:ilvl="7" w:tplc="73A4F9D4">
      <w:start w:val="1"/>
      <w:numFmt w:val="bullet"/>
      <w:lvlText w:val="o"/>
      <w:lvlJc w:val="left"/>
      <w:pPr>
        <w:ind w:left="5760" w:hanging="360"/>
      </w:pPr>
      <w:rPr>
        <w:rFonts w:ascii="Courier New" w:hAnsi="Courier New" w:hint="default"/>
      </w:rPr>
    </w:lvl>
    <w:lvl w:ilvl="8" w:tplc="CB343E06">
      <w:start w:val="1"/>
      <w:numFmt w:val="bullet"/>
      <w:lvlText w:val=""/>
      <w:lvlJc w:val="left"/>
      <w:pPr>
        <w:ind w:left="6480" w:hanging="360"/>
      </w:pPr>
      <w:rPr>
        <w:rFonts w:ascii="Wingdings" w:hAnsi="Wingdings" w:hint="default"/>
      </w:rPr>
    </w:lvl>
  </w:abstractNum>
  <w:abstractNum w:abstractNumId="2" w15:restartNumberingAfterBreak="0">
    <w:nsid w:val="2E575B8E"/>
    <w:multiLevelType w:val="hybridMultilevel"/>
    <w:tmpl w:val="BCA0C276"/>
    <w:lvl w:ilvl="0" w:tplc="969EA31A">
      <w:start w:val="1"/>
      <w:numFmt w:val="decimal"/>
      <w:lvlText w:val="%1."/>
      <w:lvlJc w:val="left"/>
      <w:pPr>
        <w:ind w:left="360" w:hanging="360"/>
      </w:pPr>
    </w:lvl>
    <w:lvl w:ilvl="1" w:tplc="FFFFFFFF">
      <w:start w:val="1"/>
      <w:numFmt w:val="bullet"/>
      <w:lvlText w:val=""/>
      <w:lvlJc w:val="left"/>
      <w:pPr>
        <w:ind w:left="1080" w:hanging="360"/>
      </w:pPr>
      <w:rPr>
        <w:rFonts w:ascii="Symbol" w:hAnsi="Symbol" w:hint="default"/>
      </w:rPr>
    </w:lvl>
    <w:lvl w:ilvl="2" w:tplc="FFFFFFFF">
      <w:start w:val="1"/>
      <w:numFmt w:val="bullet"/>
      <w:lvlText w:val="o"/>
      <w:lvlJc w:val="left"/>
      <w:pPr>
        <w:ind w:left="1800" w:hanging="180"/>
      </w:pPr>
      <w:rPr>
        <w:rFonts w:ascii="Courier New" w:hAnsi="Courier New" w:hint="default"/>
      </w:rPr>
    </w:lvl>
    <w:lvl w:ilvl="3" w:tplc="1A4897FA">
      <w:start w:val="1"/>
      <w:numFmt w:val="decimal"/>
      <w:lvlText w:val="%4."/>
      <w:lvlJc w:val="left"/>
      <w:pPr>
        <w:ind w:left="2520" w:hanging="360"/>
      </w:pPr>
    </w:lvl>
    <w:lvl w:ilvl="4" w:tplc="EE747D8C">
      <w:start w:val="1"/>
      <w:numFmt w:val="lowerLetter"/>
      <w:lvlText w:val="%5."/>
      <w:lvlJc w:val="left"/>
      <w:pPr>
        <w:ind w:left="3240" w:hanging="360"/>
      </w:pPr>
    </w:lvl>
    <w:lvl w:ilvl="5" w:tplc="E850F58A">
      <w:start w:val="1"/>
      <w:numFmt w:val="lowerRoman"/>
      <w:lvlText w:val="%6."/>
      <w:lvlJc w:val="right"/>
      <w:pPr>
        <w:ind w:left="3960" w:hanging="180"/>
      </w:pPr>
    </w:lvl>
    <w:lvl w:ilvl="6" w:tplc="4D0634F6">
      <w:start w:val="1"/>
      <w:numFmt w:val="decimal"/>
      <w:lvlText w:val="%7."/>
      <w:lvlJc w:val="left"/>
      <w:pPr>
        <w:ind w:left="4680" w:hanging="360"/>
      </w:pPr>
    </w:lvl>
    <w:lvl w:ilvl="7" w:tplc="483A2CB8">
      <w:start w:val="1"/>
      <w:numFmt w:val="lowerLetter"/>
      <w:lvlText w:val="%8."/>
      <w:lvlJc w:val="left"/>
      <w:pPr>
        <w:ind w:left="5400" w:hanging="360"/>
      </w:pPr>
    </w:lvl>
    <w:lvl w:ilvl="8" w:tplc="E8326442">
      <w:start w:val="1"/>
      <w:numFmt w:val="lowerRoman"/>
      <w:lvlText w:val="%9."/>
      <w:lvlJc w:val="right"/>
      <w:pPr>
        <w:ind w:left="6120" w:hanging="180"/>
      </w:pPr>
    </w:lvl>
  </w:abstractNum>
  <w:abstractNum w:abstractNumId="3" w15:restartNumberingAfterBreak="0">
    <w:nsid w:val="644AC7A7"/>
    <w:multiLevelType w:val="hybridMultilevel"/>
    <w:tmpl w:val="2582717A"/>
    <w:lvl w:ilvl="0" w:tplc="B2085134">
      <w:start w:val="1"/>
      <w:numFmt w:val="bullet"/>
      <w:lvlText w:val=""/>
      <w:lvlJc w:val="left"/>
      <w:pPr>
        <w:ind w:left="720" w:hanging="360"/>
      </w:pPr>
      <w:rPr>
        <w:rFonts w:ascii="Symbol" w:hAnsi="Symbol" w:hint="default"/>
      </w:rPr>
    </w:lvl>
    <w:lvl w:ilvl="1" w:tplc="9BA0BD8E">
      <w:start w:val="1"/>
      <w:numFmt w:val="bullet"/>
      <w:lvlText w:val="o"/>
      <w:lvlJc w:val="left"/>
      <w:pPr>
        <w:ind w:left="1440" w:hanging="360"/>
      </w:pPr>
      <w:rPr>
        <w:rFonts w:ascii="Courier New" w:hAnsi="Courier New" w:hint="default"/>
      </w:rPr>
    </w:lvl>
    <w:lvl w:ilvl="2" w:tplc="A6F47D36">
      <w:start w:val="1"/>
      <w:numFmt w:val="bullet"/>
      <w:lvlText w:val=""/>
      <w:lvlJc w:val="left"/>
      <w:pPr>
        <w:ind w:left="2160" w:hanging="360"/>
      </w:pPr>
      <w:rPr>
        <w:rFonts w:ascii="Wingdings" w:hAnsi="Wingdings" w:hint="default"/>
      </w:rPr>
    </w:lvl>
    <w:lvl w:ilvl="3" w:tplc="E6689F5C">
      <w:start w:val="1"/>
      <w:numFmt w:val="bullet"/>
      <w:lvlText w:val=""/>
      <w:lvlJc w:val="left"/>
      <w:pPr>
        <w:ind w:left="2880" w:hanging="360"/>
      </w:pPr>
      <w:rPr>
        <w:rFonts w:ascii="Symbol" w:hAnsi="Symbol" w:hint="default"/>
      </w:rPr>
    </w:lvl>
    <w:lvl w:ilvl="4" w:tplc="14F4395E">
      <w:start w:val="1"/>
      <w:numFmt w:val="bullet"/>
      <w:lvlText w:val="o"/>
      <w:lvlJc w:val="left"/>
      <w:pPr>
        <w:ind w:left="3600" w:hanging="360"/>
      </w:pPr>
      <w:rPr>
        <w:rFonts w:ascii="Courier New" w:hAnsi="Courier New" w:hint="default"/>
      </w:rPr>
    </w:lvl>
    <w:lvl w:ilvl="5" w:tplc="2E500E4C">
      <w:start w:val="1"/>
      <w:numFmt w:val="bullet"/>
      <w:lvlText w:val=""/>
      <w:lvlJc w:val="left"/>
      <w:pPr>
        <w:ind w:left="4320" w:hanging="360"/>
      </w:pPr>
      <w:rPr>
        <w:rFonts w:ascii="Wingdings" w:hAnsi="Wingdings" w:hint="default"/>
      </w:rPr>
    </w:lvl>
    <w:lvl w:ilvl="6" w:tplc="FB6291BA">
      <w:start w:val="1"/>
      <w:numFmt w:val="bullet"/>
      <w:lvlText w:val=""/>
      <w:lvlJc w:val="left"/>
      <w:pPr>
        <w:ind w:left="5040" w:hanging="360"/>
      </w:pPr>
      <w:rPr>
        <w:rFonts w:ascii="Symbol" w:hAnsi="Symbol" w:hint="default"/>
      </w:rPr>
    </w:lvl>
    <w:lvl w:ilvl="7" w:tplc="27262FAE">
      <w:start w:val="1"/>
      <w:numFmt w:val="bullet"/>
      <w:lvlText w:val="o"/>
      <w:lvlJc w:val="left"/>
      <w:pPr>
        <w:ind w:left="5760" w:hanging="360"/>
      </w:pPr>
      <w:rPr>
        <w:rFonts w:ascii="Courier New" w:hAnsi="Courier New" w:hint="default"/>
      </w:rPr>
    </w:lvl>
    <w:lvl w:ilvl="8" w:tplc="A4689B5A">
      <w:start w:val="1"/>
      <w:numFmt w:val="bullet"/>
      <w:lvlText w:val=""/>
      <w:lvlJc w:val="left"/>
      <w:pPr>
        <w:ind w:left="6480" w:hanging="360"/>
      </w:pPr>
      <w:rPr>
        <w:rFonts w:ascii="Wingdings" w:hAnsi="Wingdings" w:hint="default"/>
      </w:rPr>
    </w:lvl>
  </w:abstractNum>
  <w:abstractNum w:abstractNumId="4" w15:restartNumberingAfterBreak="0">
    <w:nsid w:val="77AD6BC6"/>
    <w:multiLevelType w:val="hybridMultilevel"/>
    <w:tmpl w:val="A3244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0450393">
    <w:abstractNumId w:val="3"/>
  </w:num>
  <w:num w:numId="2" w16cid:durableId="1582368620">
    <w:abstractNumId w:val="2"/>
  </w:num>
  <w:num w:numId="3" w16cid:durableId="187455435">
    <w:abstractNumId w:val="1"/>
  </w:num>
  <w:num w:numId="4" w16cid:durableId="1372071731">
    <w:abstractNumId w:val="4"/>
  </w:num>
  <w:num w:numId="5" w16cid:durableId="1097093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A97"/>
    <w:rsid w:val="000033EA"/>
    <w:rsid w:val="00003539"/>
    <w:rsid w:val="00010900"/>
    <w:rsid w:val="0001647B"/>
    <w:rsid w:val="0002316E"/>
    <w:rsid w:val="0002713C"/>
    <w:rsid w:val="0003771A"/>
    <w:rsid w:val="000407B7"/>
    <w:rsid w:val="000419D1"/>
    <w:rsid w:val="00044401"/>
    <w:rsid w:val="000447E5"/>
    <w:rsid w:val="00044F4F"/>
    <w:rsid w:val="00045FE6"/>
    <w:rsid w:val="000540AD"/>
    <w:rsid w:val="000600ED"/>
    <w:rsid w:val="00064229"/>
    <w:rsid w:val="00066835"/>
    <w:rsid w:val="000766E2"/>
    <w:rsid w:val="000837AB"/>
    <w:rsid w:val="00086791"/>
    <w:rsid w:val="00087988"/>
    <w:rsid w:val="000913B7"/>
    <w:rsid w:val="00095EE0"/>
    <w:rsid w:val="00097AEF"/>
    <w:rsid w:val="000A21BA"/>
    <w:rsid w:val="000A608B"/>
    <w:rsid w:val="000A6E10"/>
    <w:rsid w:val="000B0B84"/>
    <w:rsid w:val="000B20C2"/>
    <w:rsid w:val="000B6782"/>
    <w:rsid w:val="000C3ADE"/>
    <w:rsid w:val="000D441C"/>
    <w:rsid w:val="000E10AD"/>
    <w:rsid w:val="000E40C7"/>
    <w:rsid w:val="000F4C78"/>
    <w:rsid w:val="000F4D81"/>
    <w:rsid w:val="000F7204"/>
    <w:rsid w:val="00103E6C"/>
    <w:rsid w:val="001065A0"/>
    <w:rsid w:val="00120821"/>
    <w:rsid w:val="00120FFC"/>
    <w:rsid w:val="001227DF"/>
    <w:rsid w:val="00126AF2"/>
    <w:rsid w:val="0013116E"/>
    <w:rsid w:val="0016079B"/>
    <w:rsid w:val="00170664"/>
    <w:rsid w:val="00170E32"/>
    <w:rsid w:val="00181384"/>
    <w:rsid w:val="00186BA5"/>
    <w:rsid w:val="00187BDB"/>
    <w:rsid w:val="001A2419"/>
    <w:rsid w:val="001A6875"/>
    <w:rsid w:val="001B2B8A"/>
    <w:rsid w:val="001B4188"/>
    <w:rsid w:val="001C055A"/>
    <w:rsid w:val="001D201B"/>
    <w:rsid w:val="001E086D"/>
    <w:rsid w:val="001E5E18"/>
    <w:rsid w:val="001F48A7"/>
    <w:rsid w:val="00203097"/>
    <w:rsid w:val="00204652"/>
    <w:rsid w:val="00210DA7"/>
    <w:rsid w:val="00211118"/>
    <w:rsid w:val="00215F6B"/>
    <w:rsid w:val="002167E7"/>
    <w:rsid w:val="002223C2"/>
    <w:rsid w:val="00223F6D"/>
    <w:rsid w:val="00226616"/>
    <w:rsid w:val="002269CC"/>
    <w:rsid w:val="00226B80"/>
    <w:rsid w:val="00235B23"/>
    <w:rsid w:val="00240ED7"/>
    <w:rsid w:val="00241F6F"/>
    <w:rsid w:val="00244964"/>
    <w:rsid w:val="00244F7A"/>
    <w:rsid w:val="0024556C"/>
    <w:rsid w:val="00253252"/>
    <w:rsid w:val="00272A2E"/>
    <w:rsid w:val="00276936"/>
    <w:rsid w:val="002804BA"/>
    <w:rsid w:val="00287B69"/>
    <w:rsid w:val="002924CC"/>
    <w:rsid w:val="002958F8"/>
    <w:rsid w:val="0029784A"/>
    <w:rsid w:val="002A4AB7"/>
    <w:rsid w:val="002A6CD4"/>
    <w:rsid w:val="002A78CB"/>
    <w:rsid w:val="002A7E2D"/>
    <w:rsid w:val="002B0B50"/>
    <w:rsid w:val="002B20C6"/>
    <w:rsid w:val="002B290E"/>
    <w:rsid w:val="002B2AED"/>
    <w:rsid w:val="002B3671"/>
    <w:rsid w:val="002C153E"/>
    <w:rsid w:val="002C36E6"/>
    <w:rsid w:val="002C4523"/>
    <w:rsid w:val="002C5007"/>
    <w:rsid w:val="002C5679"/>
    <w:rsid w:val="002C7264"/>
    <w:rsid w:val="002D4D8F"/>
    <w:rsid w:val="002E1F0F"/>
    <w:rsid w:val="002E74E7"/>
    <w:rsid w:val="002F262A"/>
    <w:rsid w:val="002F771A"/>
    <w:rsid w:val="00300402"/>
    <w:rsid w:val="00314CB0"/>
    <w:rsid w:val="00315395"/>
    <w:rsid w:val="00322829"/>
    <w:rsid w:val="003249FE"/>
    <w:rsid w:val="0032581F"/>
    <w:rsid w:val="003334AB"/>
    <w:rsid w:val="0033375E"/>
    <w:rsid w:val="00346364"/>
    <w:rsid w:val="003619F2"/>
    <w:rsid w:val="00366475"/>
    <w:rsid w:val="00367818"/>
    <w:rsid w:val="003720D2"/>
    <w:rsid w:val="003776CF"/>
    <w:rsid w:val="00377E3E"/>
    <w:rsid w:val="00382891"/>
    <w:rsid w:val="00390AAB"/>
    <w:rsid w:val="00390E23"/>
    <w:rsid w:val="00394631"/>
    <w:rsid w:val="003A6E5B"/>
    <w:rsid w:val="003A7AD6"/>
    <w:rsid w:val="003B0EE5"/>
    <w:rsid w:val="003B5B0D"/>
    <w:rsid w:val="003B664B"/>
    <w:rsid w:val="003C1B53"/>
    <w:rsid w:val="003C39AB"/>
    <w:rsid w:val="003C4731"/>
    <w:rsid w:val="003D0EFB"/>
    <w:rsid w:val="003D6EE9"/>
    <w:rsid w:val="003E262F"/>
    <w:rsid w:val="003E775C"/>
    <w:rsid w:val="003F16E3"/>
    <w:rsid w:val="003F3007"/>
    <w:rsid w:val="003F3388"/>
    <w:rsid w:val="003F3E2B"/>
    <w:rsid w:val="003F5653"/>
    <w:rsid w:val="003F6A85"/>
    <w:rsid w:val="0040470E"/>
    <w:rsid w:val="004049E7"/>
    <w:rsid w:val="00420625"/>
    <w:rsid w:val="00424B93"/>
    <w:rsid w:val="00431724"/>
    <w:rsid w:val="00451253"/>
    <w:rsid w:val="00454DFF"/>
    <w:rsid w:val="0045672A"/>
    <w:rsid w:val="00456EBB"/>
    <w:rsid w:val="00456EF3"/>
    <w:rsid w:val="00460185"/>
    <w:rsid w:val="00462F75"/>
    <w:rsid w:val="00463414"/>
    <w:rsid w:val="00472D6D"/>
    <w:rsid w:val="004753D8"/>
    <w:rsid w:val="00476B6D"/>
    <w:rsid w:val="00477BA1"/>
    <w:rsid w:val="00484E26"/>
    <w:rsid w:val="00485173"/>
    <w:rsid w:val="0048522C"/>
    <w:rsid w:val="004873DE"/>
    <w:rsid w:val="004941D6"/>
    <w:rsid w:val="004959A2"/>
    <w:rsid w:val="004A017B"/>
    <w:rsid w:val="004A024C"/>
    <w:rsid w:val="004A429B"/>
    <w:rsid w:val="004A4C9A"/>
    <w:rsid w:val="004A5DFF"/>
    <w:rsid w:val="004B0665"/>
    <w:rsid w:val="004B4108"/>
    <w:rsid w:val="004B4742"/>
    <w:rsid w:val="004B4C5D"/>
    <w:rsid w:val="004D605D"/>
    <w:rsid w:val="004E0006"/>
    <w:rsid w:val="004E1FD9"/>
    <w:rsid w:val="004E3041"/>
    <w:rsid w:val="004E3F98"/>
    <w:rsid w:val="004E4278"/>
    <w:rsid w:val="004F0A7A"/>
    <w:rsid w:val="004F2299"/>
    <w:rsid w:val="004F40C6"/>
    <w:rsid w:val="004F7605"/>
    <w:rsid w:val="00504636"/>
    <w:rsid w:val="00505951"/>
    <w:rsid w:val="00507260"/>
    <w:rsid w:val="00520D5C"/>
    <w:rsid w:val="00521C1B"/>
    <w:rsid w:val="00525A6C"/>
    <w:rsid w:val="0053303C"/>
    <w:rsid w:val="005340BD"/>
    <w:rsid w:val="00534AE8"/>
    <w:rsid w:val="00536CF9"/>
    <w:rsid w:val="0053748B"/>
    <w:rsid w:val="0053784F"/>
    <w:rsid w:val="0054626C"/>
    <w:rsid w:val="00546CA9"/>
    <w:rsid w:val="00551A39"/>
    <w:rsid w:val="005520F2"/>
    <w:rsid w:val="005632E8"/>
    <w:rsid w:val="005771C7"/>
    <w:rsid w:val="00583199"/>
    <w:rsid w:val="00584B7F"/>
    <w:rsid w:val="0058544B"/>
    <w:rsid w:val="00585B76"/>
    <w:rsid w:val="0059019A"/>
    <w:rsid w:val="00590D2D"/>
    <w:rsid w:val="00593A72"/>
    <w:rsid w:val="00596F94"/>
    <w:rsid w:val="005A0882"/>
    <w:rsid w:val="005A38DB"/>
    <w:rsid w:val="005A7DD6"/>
    <w:rsid w:val="005B1BF3"/>
    <w:rsid w:val="005B731D"/>
    <w:rsid w:val="005B7E5E"/>
    <w:rsid w:val="005C0804"/>
    <w:rsid w:val="005C1B6E"/>
    <w:rsid w:val="005C2BA7"/>
    <w:rsid w:val="005C2F6E"/>
    <w:rsid w:val="005C3913"/>
    <w:rsid w:val="005C3C3F"/>
    <w:rsid w:val="005C66F2"/>
    <w:rsid w:val="005D3437"/>
    <w:rsid w:val="005D7286"/>
    <w:rsid w:val="005E15DF"/>
    <w:rsid w:val="005E48FB"/>
    <w:rsid w:val="005E7300"/>
    <w:rsid w:val="005F166B"/>
    <w:rsid w:val="005F2EDB"/>
    <w:rsid w:val="00602092"/>
    <w:rsid w:val="0060379F"/>
    <w:rsid w:val="00615550"/>
    <w:rsid w:val="00636600"/>
    <w:rsid w:val="00645C48"/>
    <w:rsid w:val="00651318"/>
    <w:rsid w:val="0065311F"/>
    <w:rsid w:val="00655353"/>
    <w:rsid w:val="00657D9F"/>
    <w:rsid w:val="00670564"/>
    <w:rsid w:val="00677100"/>
    <w:rsid w:val="0067791A"/>
    <w:rsid w:val="0068045C"/>
    <w:rsid w:val="00680BB3"/>
    <w:rsid w:val="006822F4"/>
    <w:rsid w:val="00684911"/>
    <w:rsid w:val="006859C2"/>
    <w:rsid w:val="00687272"/>
    <w:rsid w:val="006944A6"/>
    <w:rsid w:val="00696567"/>
    <w:rsid w:val="006A0CA8"/>
    <w:rsid w:val="006A7ABB"/>
    <w:rsid w:val="006B54F1"/>
    <w:rsid w:val="006C1C9B"/>
    <w:rsid w:val="006C3498"/>
    <w:rsid w:val="006C4773"/>
    <w:rsid w:val="006D0913"/>
    <w:rsid w:val="006E033A"/>
    <w:rsid w:val="006E1A97"/>
    <w:rsid w:val="006E4386"/>
    <w:rsid w:val="006E4C78"/>
    <w:rsid w:val="006E5F47"/>
    <w:rsid w:val="006F6425"/>
    <w:rsid w:val="006F7359"/>
    <w:rsid w:val="00700813"/>
    <w:rsid w:val="007011C6"/>
    <w:rsid w:val="00701EA2"/>
    <w:rsid w:val="00702F6F"/>
    <w:rsid w:val="0071154F"/>
    <w:rsid w:val="00712F88"/>
    <w:rsid w:val="00714081"/>
    <w:rsid w:val="007154B0"/>
    <w:rsid w:val="0072164F"/>
    <w:rsid w:val="007231AB"/>
    <w:rsid w:val="0072594A"/>
    <w:rsid w:val="00725B79"/>
    <w:rsid w:val="007262DE"/>
    <w:rsid w:val="0073107D"/>
    <w:rsid w:val="0073272B"/>
    <w:rsid w:val="00740064"/>
    <w:rsid w:val="007400A2"/>
    <w:rsid w:val="0074133D"/>
    <w:rsid w:val="00741C18"/>
    <w:rsid w:val="00743B3E"/>
    <w:rsid w:val="007462F6"/>
    <w:rsid w:val="00750FEE"/>
    <w:rsid w:val="00751D01"/>
    <w:rsid w:val="007539D1"/>
    <w:rsid w:val="00757BFF"/>
    <w:rsid w:val="00760AB6"/>
    <w:rsid w:val="00761DBF"/>
    <w:rsid w:val="00762CD5"/>
    <w:rsid w:val="00763ED5"/>
    <w:rsid w:val="0076465C"/>
    <w:rsid w:val="007676BA"/>
    <w:rsid w:val="00771B16"/>
    <w:rsid w:val="007756D3"/>
    <w:rsid w:val="00781552"/>
    <w:rsid w:val="007910B8"/>
    <w:rsid w:val="007948CA"/>
    <w:rsid w:val="0079527A"/>
    <w:rsid w:val="007B071B"/>
    <w:rsid w:val="007C267A"/>
    <w:rsid w:val="007C674E"/>
    <w:rsid w:val="007D02EF"/>
    <w:rsid w:val="007D40FE"/>
    <w:rsid w:val="007E4353"/>
    <w:rsid w:val="007E4D25"/>
    <w:rsid w:val="007E5287"/>
    <w:rsid w:val="008039FE"/>
    <w:rsid w:val="00804B80"/>
    <w:rsid w:val="00810ABA"/>
    <w:rsid w:val="00815819"/>
    <w:rsid w:val="00815C85"/>
    <w:rsid w:val="00823AF9"/>
    <w:rsid w:val="00824E7E"/>
    <w:rsid w:val="0083459D"/>
    <w:rsid w:val="00834F0F"/>
    <w:rsid w:val="008552F4"/>
    <w:rsid w:val="008673CF"/>
    <w:rsid w:val="0087206A"/>
    <w:rsid w:val="00873389"/>
    <w:rsid w:val="00874C13"/>
    <w:rsid w:val="008757E9"/>
    <w:rsid w:val="00876074"/>
    <w:rsid w:val="00886FAC"/>
    <w:rsid w:val="00891DA0"/>
    <w:rsid w:val="00892711"/>
    <w:rsid w:val="00895153"/>
    <w:rsid w:val="008A427F"/>
    <w:rsid w:val="008A47AA"/>
    <w:rsid w:val="008B4343"/>
    <w:rsid w:val="008B712E"/>
    <w:rsid w:val="008C1C79"/>
    <w:rsid w:val="008C2991"/>
    <w:rsid w:val="008C5B5D"/>
    <w:rsid w:val="008C6AC6"/>
    <w:rsid w:val="008D50A2"/>
    <w:rsid w:val="008D5160"/>
    <w:rsid w:val="008D5E5C"/>
    <w:rsid w:val="008D7E2D"/>
    <w:rsid w:val="008E5FB5"/>
    <w:rsid w:val="008F240E"/>
    <w:rsid w:val="008F47B6"/>
    <w:rsid w:val="009037EE"/>
    <w:rsid w:val="00905A8B"/>
    <w:rsid w:val="009077AB"/>
    <w:rsid w:val="00910A93"/>
    <w:rsid w:val="009120D9"/>
    <w:rsid w:val="00912B00"/>
    <w:rsid w:val="00920732"/>
    <w:rsid w:val="00921B11"/>
    <w:rsid w:val="00924799"/>
    <w:rsid w:val="00924BAB"/>
    <w:rsid w:val="009308DB"/>
    <w:rsid w:val="00930BC1"/>
    <w:rsid w:val="00931346"/>
    <w:rsid w:val="009315EA"/>
    <w:rsid w:val="00933664"/>
    <w:rsid w:val="00933A77"/>
    <w:rsid w:val="00934AE3"/>
    <w:rsid w:val="00935A8B"/>
    <w:rsid w:val="00944901"/>
    <w:rsid w:val="0095683F"/>
    <w:rsid w:val="00962A6C"/>
    <w:rsid w:val="00971697"/>
    <w:rsid w:val="00972F96"/>
    <w:rsid w:val="00973CE9"/>
    <w:rsid w:val="00975487"/>
    <w:rsid w:val="009768EF"/>
    <w:rsid w:val="00985061"/>
    <w:rsid w:val="00985355"/>
    <w:rsid w:val="00987220"/>
    <w:rsid w:val="00995101"/>
    <w:rsid w:val="0099633A"/>
    <w:rsid w:val="009A2A98"/>
    <w:rsid w:val="009A41CB"/>
    <w:rsid w:val="009A5FAD"/>
    <w:rsid w:val="009B2794"/>
    <w:rsid w:val="009C1A18"/>
    <w:rsid w:val="009C2BF3"/>
    <w:rsid w:val="009C4B0E"/>
    <w:rsid w:val="009D1402"/>
    <w:rsid w:val="009D769F"/>
    <w:rsid w:val="009D7E10"/>
    <w:rsid w:val="009E1008"/>
    <w:rsid w:val="009E3C69"/>
    <w:rsid w:val="009E4AD1"/>
    <w:rsid w:val="009E6E5F"/>
    <w:rsid w:val="009F12C7"/>
    <w:rsid w:val="009F1654"/>
    <w:rsid w:val="009F3FBC"/>
    <w:rsid w:val="00A01255"/>
    <w:rsid w:val="00A07349"/>
    <w:rsid w:val="00A1337D"/>
    <w:rsid w:val="00A14B13"/>
    <w:rsid w:val="00A3671E"/>
    <w:rsid w:val="00A41ED3"/>
    <w:rsid w:val="00A41F87"/>
    <w:rsid w:val="00A424FB"/>
    <w:rsid w:val="00A434FF"/>
    <w:rsid w:val="00A44158"/>
    <w:rsid w:val="00A444B0"/>
    <w:rsid w:val="00A4630B"/>
    <w:rsid w:val="00A46DD1"/>
    <w:rsid w:val="00A517DB"/>
    <w:rsid w:val="00A56D23"/>
    <w:rsid w:val="00A627E1"/>
    <w:rsid w:val="00A62F20"/>
    <w:rsid w:val="00A62F4A"/>
    <w:rsid w:val="00A63297"/>
    <w:rsid w:val="00A82910"/>
    <w:rsid w:val="00A85BAA"/>
    <w:rsid w:val="00A86208"/>
    <w:rsid w:val="00A95D19"/>
    <w:rsid w:val="00A96C7A"/>
    <w:rsid w:val="00AA3136"/>
    <w:rsid w:val="00AA5437"/>
    <w:rsid w:val="00AB3023"/>
    <w:rsid w:val="00AB444B"/>
    <w:rsid w:val="00AB6CC7"/>
    <w:rsid w:val="00AC02C7"/>
    <w:rsid w:val="00AC21F0"/>
    <w:rsid w:val="00AC3DD5"/>
    <w:rsid w:val="00AC4610"/>
    <w:rsid w:val="00AC74D5"/>
    <w:rsid w:val="00AD2A7C"/>
    <w:rsid w:val="00AE77E8"/>
    <w:rsid w:val="00AE7CA0"/>
    <w:rsid w:val="00AF066F"/>
    <w:rsid w:val="00AF1046"/>
    <w:rsid w:val="00B117C7"/>
    <w:rsid w:val="00B15FBC"/>
    <w:rsid w:val="00B16B94"/>
    <w:rsid w:val="00B214D3"/>
    <w:rsid w:val="00B305E1"/>
    <w:rsid w:val="00B32EBA"/>
    <w:rsid w:val="00B33C25"/>
    <w:rsid w:val="00B34BB3"/>
    <w:rsid w:val="00B351F0"/>
    <w:rsid w:val="00B4173E"/>
    <w:rsid w:val="00B42614"/>
    <w:rsid w:val="00B505B5"/>
    <w:rsid w:val="00B52F91"/>
    <w:rsid w:val="00B56185"/>
    <w:rsid w:val="00B57198"/>
    <w:rsid w:val="00B60F78"/>
    <w:rsid w:val="00B61D33"/>
    <w:rsid w:val="00B624A5"/>
    <w:rsid w:val="00B67C0B"/>
    <w:rsid w:val="00B735D6"/>
    <w:rsid w:val="00B7500C"/>
    <w:rsid w:val="00B761F8"/>
    <w:rsid w:val="00B770AD"/>
    <w:rsid w:val="00B8431E"/>
    <w:rsid w:val="00B8489D"/>
    <w:rsid w:val="00B9121D"/>
    <w:rsid w:val="00B93368"/>
    <w:rsid w:val="00B93EFF"/>
    <w:rsid w:val="00B940A4"/>
    <w:rsid w:val="00BB30EC"/>
    <w:rsid w:val="00BB50FB"/>
    <w:rsid w:val="00BB74AC"/>
    <w:rsid w:val="00BC15FB"/>
    <w:rsid w:val="00BC2C97"/>
    <w:rsid w:val="00BC37BC"/>
    <w:rsid w:val="00BD0DD3"/>
    <w:rsid w:val="00BD4B13"/>
    <w:rsid w:val="00BE1121"/>
    <w:rsid w:val="00BE2DBF"/>
    <w:rsid w:val="00BE470E"/>
    <w:rsid w:val="00BF6146"/>
    <w:rsid w:val="00C03D37"/>
    <w:rsid w:val="00C065CB"/>
    <w:rsid w:val="00C1041F"/>
    <w:rsid w:val="00C131AA"/>
    <w:rsid w:val="00C15022"/>
    <w:rsid w:val="00C16B0A"/>
    <w:rsid w:val="00C243C1"/>
    <w:rsid w:val="00C43625"/>
    <w:rsid w:val="00C43782"/>
    <w:rsid w:val="00C50B38"/>
    <w:rsid w:val="00C518E7"/>
    <w:rsid w:val="00C537A4"/>
    <w:rsid w:val="00C5545F"/>
    <w:rsid w:val="00C66DEA"/>
    <w:rsid w:val="00C75E2D"/>
    <w:rsid w:val="00C815A0"/>
    <w:rsid w:val="00C82764"/>
    <w:rsid w:val="00C92B9D"/>
    <w:rsid w:val="00CA1BBD"/>
    <w:rsid w:val="00CA5B55"/>
    <w:rsid w:val="00CB0C74"/>
    <w:rsid w:val="00CB1638"/>
    <w:rsid w:val="00CC4762"/>
    <w:rsid w:val="00CE2DAA"/>
    <w:rsid w:val="00CF13C3"/>
    <w:rsid w:val="00CF2526"/>
    <w:rsid w:val="00CF75CF"/>
    <w:rsid w:val="00D001C6"/>
    <w:rsid w:val="00D0793B"/>
    <w:rsid w:val="00D12E53"/>
    <w:rsid w:val="00D14E69"/>
    <w:rsid w:val="00D20D33"/>
    <w:rsid w:val="00D20D40"/>
    <w:rsid w:val="00D226DE"/>
    <w:rsid w:val="00D24163"/>
    <w:rsid w:val="00D24FED"/>
    <w:rsid w:val="00D27054"/>
    <w:rsid w:val="00D33A0A"/>
    <w:rsid w:val="00D33C2D"/>
    <w:rsid w:val="00D42047"/>
    <w:rsid w:val="00D43450"/>
    <w:rsid w:val="00D43DDB"/>
    <w:rsid w:val="00D54E75"/>
    <w:rsid w:val="00D612BA"/>
    <w:rsid w:val="00D61384"/>
    <w:rsid w:val="00D66435"/>
    <w:rsid w:val="00D66A6B"/>
    <w:rsid w:val="00D67FD2"/>
    <w:rsid w:val="00D7123A"/>
    <w:rsid w:val="00D72E2E"/>
    <w:rsid w:val="00D7484F"/>
    <w:rsid w:val="00D74B61"/>
    <w:rsid w:val="00D74DFF"/>
    <w:rsid w:val="00D76D4A"/>
    <w:rsid w:val="00D81581"/>
    <w:rsid w:val="00D820A0"/>
    <w:rsid w:val="00D84B63"/>
    <w:rsid w:val="00D86BB0"/>
    <w:rsid w:val="00D95F5E"/>
    <w:rsid w:val="00DA6E3B"/>
    <w:rsid w:val="00DB3A8B"/>
    <w:rsid w:val="00DC0835"/>
    <w:rsid w:val="00DC3B7D"/>
    <w:rsid w:val="00DC7343"/>
    <w:rsid w:val="00DC7AC8"/>
    <w:rsid w:val="00DC7B32"/>
    <w:rsid w:val="00DD3575"/>
    <w:rsid w:val="00DD446C"/>
    <w:rsid w:val="00DD6F92"/>
    <w:rsid w:val="00DE14F1"/>
    <w:rsid w:val="00DE63FC"/>
    <w:rsid w:val="00DE6448"/>
    <w:rsid w:val="00DE64E8"/>
    <w:rsid w:val="00DF47A5"/>
    <w:rsid w:val="00DF4BE3"/>
    <w:rsid w:val="00DF5CAF"/>
    <w:rsid w:val="00E00EFF"/>
    <w:rsid w:val="00E02C25"/>
    <w:rsid w:val="00E037AE"/>
    <w:rsid w:val="00E06EB1"/>
    <w:rsid w:val="00E07519"/>
    <w:rsid w:val="00E14F51"/>
    <w:rsid w:val="00E16507"/>
    <w:rsid w:val="00E16F7B"/>
    <w:rsid w:val="00E170F5"/>
    <w:rsid w:val="00E1783B"/>
    <w:rsid w:val="00E20E10"/>
    <w:rsid w:val="00E2611D"/>
    <w:rsid w:val="00E31F63"/>
    <w:rsid w:val="00E350C2"/>
    <w:rsid w:val="00E36FB4"/>
    <w:rsid w:val="00E40FCF"/>
    <w:rsid w:val="00E41B48"/>
    <w:rsid w:val="00E43A60"/>
    <w:rsid w:val="00E43F58"/>
    <w:rsid w:val="00E53B3F"/>
    <w:rsid w:val="00E57CCD"/>
    <w:rsid w:val="00E65087"/>
    <w:rsid w:val="00E70658"/>
    <w:rsid w:val="00E718D6"/>
    <w:rsid w:val="00E723FF"/>
    <w:rsid w:val="00E856ED"/>
    <w:rsid w:val="00E85BE7"/>
    <w:rsid w:val="00E85F39"/>
    <w:rsid w:val="00E9248F"/>
    <w:rsid w:val="00E925E8"/>
    <w:rsid w:val="00E92A75"/>
    <w:rsid w:val="00E92A7F"/>
    <w:rsid w:val="00E94A74"/>
    <w:rsid w:val="00E94C66"/>
    <w:rsid w:val="00E96594"/>
    <w:rsid w:val="00EA439D"/>
    <w:rsid w:val="00EA48DB"/>
    <w:rsid w:val="00EA519C"/>
    <w:rsid w:val="00EA5DC1"/>
    <w:rsid w:val="00EA611F"/>
    <w:rsid w:val="00EA7069"/>
    <w:rsid w:val="00EA73FE"/>
    <w:rsid w:val="00EC00B1"/>
    <w:rsid w:val="00EC1A59"/>
    <w:rsid w:val="00ED5402"/>
    <w:rsid w:val="00EE74BE"/>
    <w:rsid w:val="00EF2A6A"/>
    <w:rsid w:val="00EF6D89"/>
    <w:rsid w:val="00F01E5F"/>
    <w:rsid w:val="00F11827"/>
    <w:rsid w:val="00F23B81"/>
    <w:rsid w:val="00F31E12"/>
    <w:rsid w:val="00F341F8"/>
    <w:rsid w:val="00F34762"/>
    <w:rsid w:val="00F354DC"/>
    <w:rsid w:val="00F44EA8"/>
    <w:rsid w:val="00F47A57"/>
    <w:rsid w:val="00F5155C"/>
    <w:rsid w:val="00F54EDA"/>
    <w:rsid w:val="00F552C3"/>
    <w:rsid w:val="00F64FD8"/>
    <w:rsid w:val="00F679AC"/>
    <w:rsid w:val="00F74B9A"/>
    <w:rsid w:val="00F7513F"/>
    <w:rsid w:val="00F8485F"/>
    <w:rsid w:val="00F8536C"/>
    <w:rsid w:val="00F96121"/>
    <w:rsid w:val="00FA3D4F"/>
    <w:rsid w:val="00FA4065"/>
    <w:rsid w:val="00FA78EA"/>
    <w:rsid w:val="00FA7F8F"/>
    <w:rsid w:val="00FB43FD"/>
    <w:rsid w:val="00FB7041"/>
    <w:rsid w:val="00FC13CB"/>
    <w:rsid w:val="00FD04B1"/>
    <w:rsid w:val="00FD1AB7"/>
    <w:rsid w:val="00FE02B4"/>
    <w:rsid w:val="00FE2C93"/>
    <w:rsid w:val="00FE77AA"/>
    <w:rsid w:val="00FF0D12"/>
    <w:rsid w:val="00FF3527"/>
    <w:rsid w:val="013E0ACB"/>
    <w:rsid w:val="01CEC193"/>
    <w:rsid w:val="020D9F3F"/>
    <w:rsid w:val="021BEE59"/>
    <w:rsid w:val="02610B7D"/>
    <w:rsid w:val="026D736C"/>
    <w:rsid w:val="0281D554"/>
    <w:rsid w:val="0283362F"/>
    <w:rsid w:val="02D059B4"/>
    <w:rsid w:val="036D5E43"/>
    <w:rsid w:val="044D6158"/>
    <w:rsid w:val="0486F36D"/>
    <w:rsid w:val="04A37587"/>
    <w:rsid w:val="04A85C31"/>
    <w:rsid w:val="04C1DF75"/>
    <w:rsid w:val="053A8512"/>
    <w:rsid w:val="0549C1B5"/>
    <w:rsid w:val="05653BE6"/>
    <w:rsid w:val="066FD847"/>
    <w:rsid w:val="071F7D93"/>
    <w:rsid w:val="07E20EB8"/>
    <w:rsid w:val="080647BF"/>
    <w:rsid w:val="080A0897"/>
    <w:rsid w:val="092A712C"/>
    <w:rsid w:val="09A7E91B"/>
    <w:rsid w:val="0A0F113E"/>
    <w:rsid w:val="0A151C95"/>
    <w:rsid w:val="0A2514E6"/>
    <w:rsid w:val="0ACEA4A3"/>
    <w:rsid w:val="0ACFB6BD"/>
    <w:rsid w:val="0AD72F62"/>
    <w:rsid w:val="0B2F0345"/>
    <w:rsid w:val="0B4245F9"/>
    <w:rsid w:val="0BBB9704"/>
    <w:rsid w:val="0C11AB79"/>
    <w:rsid w:val="0C1BA400"/>
    <w:rsid w:val="0CFF32B3"/>
    <w:rsid w:val="0D1BE43B"/>
    <w:rsid w:val="0E28FAD6"/>
    <w:rsid w:val="0E2E8FF2"/>
    <w:rsid w:val="0E6AF15B"/>
    <w:rsid w:val="0EEF8216"/>
    <w:rsid w:val="0EFA9762"/>
    <w:rsid w:val="0F0A8982"/>
    <w:rsid w:val="0F32F7BD"/>
    <w:rsid w:val="0F892900"/>
    <w:rsid w:val="107D4585"/>
    <w:rsid w:val="110B0E51"/>
    <w:rsid w:val="110DB2BB"/>
    <w:rsid w:val="114A66E3"/>
    <w:rsid w:val="116F3902"/>
    <w:rsid w:val="121D572C"/>
    <w:rsid w:val="128758B8"/>
    <w:rsid w:val="129E94B1"/>
    <w:rsid w:val="133B78CF"/>
    <w:rsid w:val="134DB83A"/>
    <w:rsid w:val="13865C35"/>
    <w:rsid w:val="13ED0D9E"/>
    <w:rsid w:val="1466DA15"/>
    <w:rsid w:val="14745797"/>
    <w:rsid w:val="14B088F2"/>
    <w:rsid w:val="1548D6B0"/>
    <w:rsid w:val="154EB5FB"/>
    <w:rsid w:val="15C5883D"/>
    <w:rsid w:val="15D6B0DC"/>
    <w:rsid w:val="15DEAA0B"/>
    <w:rsid w:val="15E77400"/>
    <w:rsid w:val="1632A864"/>
    <w:rsid w:val="168432FB"/>
    <w:rsid w:val="16EE1E56"/>
    <w:rsid w:val="1772427C"/>
    <w:rsid w:val="178EEBC3"/>
    <w:rsid w:val="17CA5491"/>
    <w:rsid w:val="17E963C6"/>
    <w:rsid w:val="18796F96"/>
    <w:rsid w:val="18FC8C15"/>
    <w:rsid w:val="1A1C20B5"/>
    <w:rsid w:val="1A2112AB"/>
    <w:rsid w:val="1A465270"/>
    <w:rsid w:val="1A84BDE9"/>
    <w:rsid w:val="1AA66729"/>
    <w:rsid w:val="1AAA14D5"/>
    <w:rsid w:val="1B4B76D2"/>
    <w:rsid w:val="1BB46E68"/>
    <w:rsid w:val="1CA89F6D"/>
    <w:rsid w:val="1D1CE52F"/>
    <w:rsid w:val="1DAC1941"/>
    <w:rsid w:val="1DB83C25"/>
    <w:rsid w:val="1E1F675A"/>
    <w:rsid w:val="1E2CED36"/>
    <w:rsid w:val="1E2FC3E4"/>
    <w:rsid w:val="1E3065A8"/>
    <w:rsid w:val="1E3F4D39"/>
    <w:rsid w:val="1EFDD694"/>
    <w:rsid w:val="1F445545"/>
    <w:rsid w:val="1F736A2A"/>
    <w:rsid w:val="1F9657D8"/>
    <w:rsid w:val="1FA59F64"/>
    <w:rsid w:val="1FE256EF"/>
    <w:rsid w:val="20114095"/>
    <w:rsid w:val="20ADC4B8"/>
    <w:rsid w:val="20BB3ECD"/>
    <w:rsid w:val="21036ACD"/>
    <w:rsid w:val="217CC4C3"/>
    <w:rsid w:val="21B15790"/>
    <w:rsid w:val="21BDEF2A"/>
    <w:rsid w:val="21C9296E"/>
    <w:rsid w:val="21E05015"/>
    <w:rsid w:val="22EAB58F"/>
    <w:rsid w:val="22FBCD04"/>
    <w:rsid w:val="23AC1039"/>
    <w:rsid w:val="23ACEBB8"/>
    <w:rsid w:val="241CD8FA"/>
    <w:rsid w:val="24A52CC9"/>
    <w:rsid w:val="25056429"/>
    <w:rsid w:val="251026AA"/>
    <w:rsid w:val="2563EC2E"/>
    <w:rsid w:val="25ACEAC7"/>
    <w:rsid w:val="25D39C1C"/>
    <w:rsid w:val="265B62CB"/>
    <w:rsid w:val="26A7FE3B"/>
    <w:rsid w:val="26E2BFCD"/>
    <w:rsid w:val="26FDDC50"/>
    <w:rsid w:val="2707459A"/>
    <w:rsid w:val="27388E4B"/>
    <w:rsid w:val="275B5480"/>
    <w:rsid w:val="2761A929"/>
    <w:rsid w:val="279C1CF7"/>
    <w:rsid w:val="279D2D41"/>
    <w:rsid w:val="281C32CB"/>
    <w:rsid w:val="288D05F7"/>
    <w:rsid w:val="28A7246B"/>
    <w:rsid w:val="2903734F"/>
    <w:rsid w:val="29193851"/>
    <w:rsid w:val="2925E6AB"/>
    <w:rsid w:val="29922960"/>
    <w:rsid w:val="29CCDF57"/>
    <w:rsid w:val="2A21E12A"/>
    <w:rsid w:val="2AD746B1"/>
    <w:rsid w:val="2AE04309"/>
    <w:rsid w:val="2AFB9330"/>
    <w:rsid w:val="2B79752F"/>
    <w:rsid w:val="2B7BA8E3"/>
    <w:rsid w:val="2CF44451"/>
    <w:rsid w:val="2D64235B"/>
    <w:rsid w:val="2DA62B7A"/>
    <w:rsid w:val="2DE9B77C"/>
    <w:rsid w:val="2DF857CC"/>
    <w:rsid w:val="2EDBC379"/>
    <w:rsid w:val="2F6F73B1"/>
    <w:rsid w:val="2F6FD0E2"/>
    <w:rsid w:val="2FF01283"/>
    <w:rsid w:val="3024FFB0"/>
    <w:rsid w:val="30356DA8"/>
    <w:rsid w:val="30393F14"/>
    <w:rsid w:val="30736F5E"/>
    <w:rsid w:val="30D0B3C1"/>
    <w:rsid w:val="317896A4"/>
    <w:rsid w:val="318065BD"/>
    <w:rsid w:val="3187130A"/>
    <w:rsid w:val="318C4E41"/>
    <w:rsid w:val="31FC79D6"/>
    <w:rsid w:val="320D27B0"/>
    <w:rsid w:val="32353225"/>
    <w:rsid w:val="3256D9D3"/>
    <w:rsid w:val="327DFADE"/>
    <w:rsid w:val="33435CBE"/>
    <w:rsid w:val="335E7493"/>
    <w:rsid w:val="3398B4DF"/>
    <w:rsid w:val="33F64BC3"/>
    <w:rsid w:val="346629FC"/>
    <w:rsid w:val="348F0606"/>
    <w:rsid w:val="36055D56"/>
    <w:rsid w:val="3631E92E"/>
    <w:rsid w:val="363DF4FA"/>
    <w:rsid w:val="3644C3DC"/>
    <w:rsid w:val="365BDC64"/>
    <w:rsid w:val="37474791"/>
    <w:rsid w:val="3818C4BE"/>
    <w:rsid w:val="381A272C"/>
    <w:rsid w:val="389870A8"/>
    <w:rsid w:val="38988888"/>
    <w:rsid w:val="38B68484"/>
    <w:rsid w:val="38BB8D3B"/>
    <w:rsid w:val="38CEE1E3"/>
    <w:rsid w:val="39E25A82"/>
    <w:rsid w:val="39FE1B97"/>
    <w:rsid w:val="3A625CBA"/>
    <w:rsid w:val="3A671975"/>
    <w:rsid w:val="3A6A3DED"/>
    <w:rsid w:val="3B19682A"/>
    <w:rsid w:val="3B296BDB"/>
    <w:rsid w:val="3B37CFA2"/>
    <w:rsid w:val="3B4384C6"/>
    <w:rsid w:val="3B5C9CE1"/>
    <w:rsid w:val="3BA2C613"/>
    <w:rsid w:val="3BCA1661"/>
    <w:rsid w:val="3CBA2004"/>
    <w:rsid w:val="3CCF5E41"/>
    <w:rsid w:val="3CE9D275"/>
    <w:rsid w:val="3D301090"/>
    <w:rsid w:val="3E246D7B"/>
    <w:rsid w:val="3E3E385C"/>
    <w:rsid w:val="3E809CC8"/>
    <w:rsid w:val="3EE49D4E"/>
    <w:rsid w:val="3F614538"/>
    <w:rsid w:val="3FDB6CF3"/>
    <w:rsid w:val="3FE37382"/>
    <w:rsid w:val="401AD860"/>
    <w:rsid w:val="4021B544"/>
    <w:rsid w:val="408C20D3"/>
    <w:rsid w:val="40E1CB26"/>
    <w:rsid w:val="40E4F191"/>
    <w:rsid w:val="40EA31E1"/>
    <w:rsid w:val="41736DB8"/>
    <w:rsid w:val="4187D260"/>
    <w:rsid w:val="41B534E3"/>
    <w:rsid w:val="41FA64C4"/>
    <w:rsid w:val="420DAD1D"/>
    <w:rsid w:val="4232E56A"/>
    <w:rsid w:val="4242EBCD"/>
    <w:rsid w:val="42570FE4"/>
    <w:rsid w:val="432D6EC1"/>
    <w:rsid w:val="43931CA2"/>
    <w:rsid w:val="43D52F95"/>
    <w:rsid w:val="4402323B"/>
    <w:rsid w:val="442D5F7F"/>
    <w:rsid w:val="444852BB"/>
    <w:rsid w:val="44AEE334"/>
    <w:rsid w:val="44CEB644"/>
    <w:rsid w:val="44D7A684"/>
    <w:rsid w:val="451D7183"/>
    <w:rsid w:val="4527D1A6"/>
    <w:rsid w:val="453EBD29"/>
    <w:rsid w:val="45E93662"/>
    <w:rsid w:val="4770B3FD"/>
    <w:rsid w:val="47E9A44B"/>
    <w:rsid w:val="48A5A78F"/>
    <w:rsid w:val="4913AB19"/>
    <w:rsid w:val="4928260B"/>
    <w:rsid w:val="49965690"/>
    <w:rsid w:val="49B25BD9"/>
    <w:rsid w:val="49B7F314"/>
    <w:rsid w:val="4AD1E233"/>
    <w:rsid w:val="4AD6459C"/>
    <w:rsid w:val="4AE3A2A0"/>
    <w:rsid w:val="4AF4ED0F"/>
    <w:rsid w:val="4B68A243"/>
    <w:rsid w:val="4BECEF88"/>
    <w:rsid w:val="4CA2A716"/>
    <w:rsid w:val="4D4E146E"/>
    <w:rsid w:val="4D86A970"/>
    <w:rsid w:val="4E05CF87"/>
    <w:rsid w:val="4E36ABE4"/>
    <w:rsid w:val="4EC9F676"/>
    <w:rsid w:val="4EE16C71"/>
    <w:rsid w:val="4F1C1862"/>
    <w:rsid w:val="4F57614D"/>
    <w:rsid w:val="506884C9"/>
    <w:rsid w:val="50A560CF"/>
    <w:rsid w:val="50C16BE7"/>
    <w:rsid w:val="522FCD15"/>
    <w:rsid w:val="5249B5DD"/>
    <w:rsid w:val="526529A5"/>
    <w:rsid w:val="526D2B29"/>
    <w:rsid w:val="5290D225"/>
    <w:rsid w:val="532A47AA"/>
    <w:rsid w:val="53534518"/>
    <w:rsid w:val="53DD8A67"/>
    <w:rsid w:val="53DE47A3"/>
    <w:rsid w:val="5405CADE"/>
    <w:rsid w:val="543BED5B"/>
    <w:rsid w:val="544EB53E"/>
    <w:rsid w:val="54B9AE5C"/>
    <w:rsid w:val="54D3C54C"/>
    <w:rsid w:val="56057473"/>
    <w:rsid w:val="5670B7A0"/>
    <w:rsid w:val="56E1E190"/>
    <w:rsid w:val="5772E48D"/>
    <w:rsid w:val="57942931"/>
    <w:rsid w:val="57A247E9"/>
    <w:rsid w:val="57CA4DF0"/>
    <w:rsid w:val="57DB5DAE"/>
    <w:rsid w:val="586DF3A3"/>
    <w:rsid w:val="58B2A9A2"/>
    <w:rsid w:val="592C88B4"/>
    <w:rsid w:val="5A995E7A"/>
    <w:rsid w:val="5AF41389"/>
    <w:rsid w:val="5C04E4BF"/>
    <w:rsid w:val="5C4FFADE"/>
    <w:rsid w:val="5CB9DCF5"/>
    <w:rsid w:val="5D33D338"/>
    <w:rsid w:val="5D4D581C"/>
    <w:rsid w:val="5D728C77"/>
    <w:rsid w:val="5DA2422B"/>
    <w:rsid w:val="5DA36D00"/>
    <w:rsid w:val="5DDB007C"/>
    <w:rsid w:val="5F0B1B0A"/>
    <w:rsid w:val="5F0FF5FA"/>
    <w:rsid w:val="5F735A31"/>
    <w:rsid w:val="5F8EBDDF"/>
    <w:rsid w:val="5FD24E7E"/>
    <w:rsid w:val="6070C383"/>
    <w:rsid w:val="60AE44AC"/>
    <w:rsid w:val="60C08FE9"/>
    <w:rsid w:val="60FD2BD1"/>
    <w:rsid w:val="619123CB"/>
    <w:rsid w:val="61E8E887"/>
    <w:rsid w:val="61FFDCE1"/>
    <w:rsid w:val="62896995"/>
    <w:rsid w:val="6294226D"/>
    <w:rsid w:val="6305AFEF"/>
    <w:rsid w:val="630747AC"/>
    <w:rsid w:val="63257233"/>
    <w:rsid w:val="639DE442"/>
    <w:rsid w:val="63F89B33"/>
    <w:rsid w:val="64A56BF6"/>
    <w:rsid w:val="64AA77EF"/>
    <w:rsid w:val="663411F3"/>
    <w:rsid w:val="6649DF2F"/>
    <w:rsid w:val="675A79D2"/>
    <w:rsid w:val="678A732F"/>
    <w:rsid w:val="67F47D8B"/>
    <w:rsid w:val="681F215F"/>
    <w:rsid w:val="68C9F301"/>
    <w:rsid w:val="68E86A28"/>
    <w:rsid w:val="694F4D9D"/>
    <w:rsid w:val="699621AC"/>
    <w:rsid w:val="69A8DE35"/>
    <w:rsid w:val="69D9DE45"/>
    <w:rsid w:val="6A096552"/>
    <w:rsid w:val="6A25CE8C"/>
    <w:rsid w:val="6A3044B1"/>
    <w:rsid w:val="6AC28228"/>
    <w:rsid w:val="6AEDE0BE"/>
    <w:rsid w:val="6B3FBFA6"/>
    <w:rsid w:val="6B58630F"/>
    <w:rsid w:val="6BB50505"/>
    <w:rsid w:val="6C2794BD"/>
    <w:rsid w:val="6CB6A002"/>
    <w:rsid w:val="6D218792"/>
    <w:rsid w:val="6D43A2F7"/>
    <w:rsid w:val="6D992D86"/>
    <w:rsid w:val="6DDD7200"/>
    <w:rsid w:val="6E58B378"/>
    <w:rsid w:val="6E6168C0"/>
    <w:rsid w:val="6E9EC079"/>
    <w:rsid w:val="6EA822A6"/>
    <w:rsid w:val="6F07F03E"/>
    <w:rsid w:val="7017D4C3"/>
    <w:rsid w:val="706317D5"/>
    <w:rsid w:val="70F76ADE"/>
    <w:rsid w:val="716F8C7E"/>
    <w:rsid w:val="71958418"/>
    <w:rsid w:val="71BDD60B"/>
    <w:rsid w:val="71C7E166"/>
    <w:rsid w:val="7276C3A8"/>
    <w:rsid w:val="72EB60B1"/>
    <w:rsid w:val="7337D579"/>
    <w:rsid w:val="73A73AA9"/>
    <w:rsid w:val="74497D4B"/>
    <w:rsid w:val="748A7B32"/>
    <w:rsid w:val="7493F305"/>
    <w:rsid w:val="74BA9DE0"/>
    <w:rsid w:val="74F60E9B"/>
    <w:rsid w:val="7500E26E"/>
    <w:rsid w:val="757BC1D5"/>
    <w:rsid w:val="75BE4007"/>
    <w:rsid w:val="75C612F1"/>
    <w:rsid w:val="75D635C5"/>
    <w:rsid w:val="7700F420"/>
    <w:rsid w:val="773FBBF9"/>
    <w:rsid w:val="77B52120"/>
    <w:rsid w:val="785E49B3"/>
    <w:rsid w:val="78C08202"/>
    <w:rsid w:val="7A880273"/>
    <w:rsid w:val="7AEDB611"/>
    <w:rsid w:val="7C0B18DC"/>
    <w:rsid w:val="7CCD0AB3"/>
    <w:rsid w:val="7E3498E7"/>
    <w:rsid w:val="7E535EC9"/>
    <w:rsid w:val="7F295145"/>
    <w:rsid w:val="7F51BD41"/>
    <w:rsid w:val="7F8F0ADD"/>
    <w:rsid w:val="7FA152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2C2F9"/>
  <w15:chartTrackingRefBased/>
  <w15:docId w15:val="{7F98481F-0EF8-4475-9A90-D0BBD2047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A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1A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1A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1A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1A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1A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A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A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A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A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1A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1A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1A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1A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1A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A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A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A97"/>
    <w:rPr>
      <w:rFonts w:eastAsiaTheme="majorEastAsia" w:cstheme="majorBidi"/>
      <w:color w:val="272727" w:themeColor="text1" w:themeTint="D8"/>
    </w:rPr>
  </w:style>
  <w:style w:type="paragraph" w:styleId="Title">
    <w:name w:val="Title"/>
    <w:basedOn w:val="Normal"/>
    <w:next w:val="Normal"/>
    <w:link w:val="TitleChar"/>
    <w:uiPriority w:val="10"/>
    <w:qFormat/>
    <w:rsid w:val="006E1A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A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A9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A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A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1A97"/>
    <w:rPr>
      <w:i/>
      <w:iCs/>
      <w:color w:val="404040" w:themeColor="text1" w:themeTint="BF"/>
    </w:rPr>
  </w:style>
  <w:style w:type="paragraph" w:styleId="ListParagraph">
    <w:name w:val="List Paragraph"/>
    <w:basedOn w:val="Normal"/>
    <w:uiPriority w:val="34"/>
    <w:qFormat/>
    <w:rsid w:val="006E1A97"/>
    <w:pPr>
      <w:ind w:left="720"/>
      <w:contextualSpacing/>
    </w:pPr>
  </w:style>
  <w:style w:type="character" w:styleId="IntenseEmphasis">
    <w:name w:val="Intense Emphasis"/>
    <w:basedOn w:val="DefaultParagraphFont"/>
    <w:uiPriority w:val="21"/>
    <w:qFormat/>
    <w:rsid w:val="006E1A97"/>
    <w:rPr>
      <w:i/>
      <w:iCs/>
      <w:color w:val="0F4761" w:themeColor="accent1" w:themeShade="BF"/>
    </w:rPr>
  </w:style>
  <w:style w:type="paragraph" w:styleId="IntenseQuote">
    <w:name w:val="Intense Quote"/>
    <w:basedOn w:val="Normal"/>
    <w:next w:val="Normal"/>
    <w:link w:val="IntenseQuoteChar"/>
    <w:uiPriority w:val="30"/>
    <w:qFormat/>
    <w:rsid w:val="006E1A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1A97"/>
    <w:rPr>
      <w:i/>
      <w:iCs/>
      <w:color w:val="0F4761" w:themeColor="accent1" w:themeShade="BF"/>
    </w:rPr>
  </w:style>
  <w:style w:type="character" w:styleId="IntenseReference">
    <w:name w:val="Intense Reference"/>
    <w:basedOn w:val="DefaultParagraphFont"/>
    <w:uiPriority w:val="32"/>
    <w:qFormat/>
    <w:rsid w:val="006E1A97"/>
    <w:rPr>
      <w:b/>
      <w:bCs/>
      <w:smallCaps/>
      <w:color w:val="0F4761" w:themeColor="accent1" w:themeShade="BF"/>
      <w:spacing w:val="5"/>
    </w:rPr>
  </w:style>
  <w:style w:type="paragraph" w:styleId="Header">
    <w:name w:val="header"/>
    <w:basedOn w:val="Normal"/>
    <w:link w:val="HeaderChar"/>
    <w:uiPriority w:val="99"/>
    <w:unhideWhenUsed/>
    <w:rsid w:val="006E1A97"/>
    <w:pPr>
      <w:tabs>
        <w:tab w:val="center" w:pos="4680"/>
        <w:tab w:val="right" w:pos="9360"/>
      </w:tabs>
    </w:pPr>
  </w:style>
  <w:style w:type="character" w:customStyle="1" w:styleId="HeaderChar">
    <w:name w:val="Header Char"/>
    <w:basedOn w:val="DefaultParagraphFont"/>
    <w:link w:val="Header"/>
    <w:uiPriority w:val="99"/>
    <w:rsid w:val="006E1A97"/>
  </w:style>
  <w:style w:type="paragraph" w:styleId="Footer">
    <w:name w:val="footer"/>
    <w:basedOn w:val="Normal"/>
    <w:link w:val="FooterChar"/>
    <w:uiPriority w:val="99"/>
    <w:unhideWhenUsed/>
    <w:rsid w:val="006E1A97"/>
    <w:pPr>
      <w:tabs>
        <w:tab w:val="center" w:pos="4680"/>
        <w:tab w:val="right" w:pos="9360"/>
      </w:tabs>
    </w:pPr>
  </w:style>
  <w:style w:type="character" w:customStyle="1" w:styleId="FooterChar">
    <w:name w:val="Footer Char"/>
    <w:basedOn w:val="DefaultParagraphFont"/>
    <w:link w:val="Footer"/>
    <w:uiPriority w:val="99"/>
    <w:rsid w:val="006E1A97"/>
  </w:style>
  <w:style w:type="character" w:styleId="Hyperlink">
    <w:name w:val="Hyperlink"/>
    <w:basedOn w:val="DefaultParagraphFont"/>
    <w:uiPriority w:val="99"/>
    <w:unhideWhenUsed/>
    <w:rsid w:val="00680BB3"/>
    <w:rPr>
      <w:color w:val="467886"/>
      <w:u w:val="single"/>
    </w:rPr>
  </w:style>
  <w:style w:type="table" w:styleId="TableGrid">
    <w:name w:val="Table Grid"/>
    <w:basedOn w:val="TableNormal"/>
    <w:uiPriority w:val="59"/>
    <w:rsid w:val="001A68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3671E"/>
  </w:style>
  <w:style w:type="character" w:styleId="UnresolvedMention">
    <w:name w:val="Unresolved Mention"/>
    <w:basedOn w:val="DefaultParagraphFont"/>
    <w:uiPriority w:val="99"/>
    <w:semiHidden/>
    <w:unhideWhenUsed/>
    <w:rsid w:val="009A2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lori@bayoureg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stmaryexcel.com" TargetMode="External"/><Relationship Id="rId5" Type="http://schemas.openxmlformats.org/officeDocument/2006/relationships/footnotes" Target="footnotes.xml"/><Relationship Id="rId10" Type="http://schemas.openxmlformats.org/officeDocument/2006/relationships/hyperlink" Target="mailto:henri.boulet@nicholls.edu" TargetMode="External"/><Relationship Id="rId4" Type="http://schemas.openxmlformats.org/officeDocument/2006/relationships/webSettings" Target="webSettings.xml"/><Relationship Id="rId9" Type="http://schemas.openxmlformats.org/officeDocument/2006/relationships/hyperlink" Target="mailto:lafonddd@lafourchgov.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0cb1e24-a0e2-4a4c-9340-733297c9cd7c}" enabled="1" method="Privileged" siteId="{db1e96a8-a3da-442a-930b-235cac24cd5c}" contentBits="0" removed="0"/>
</clbl:labelList>
</file>

<file path=docProps/app.xml><?xml version="1.0" encoding="utf-8"?>
<Properties xmlns="http://schemas.openxmlformats.org/officeDocument/2006/extended-properties" xmlns:vt="http://schemas.openxmlformats.org/officeDocument/2006/docPropsVTypes">
  <Template>Normal</Template>
  <TotalTime>20</TotalTime>
  <Pages>3</Pages>
  <Words>1281</Words>
  <Characters>7308</Characters>
  <Application>Microsoft Office Word</Application>
  <DocSecurity>0</DocSecurity>
  <Lines>60</Lines>
  <Paragraphs>17</Paragraphs>
  <ScaleCrop>false</ScaleCrop>
  <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LeBlanc</dc:creator>
  <cp:keywords/>
  <dc:description/>
  <cp:lastModifiedBy>Lori LeBlanc</cp:lastModifiedBy>
  <cp:revision>19</cp:revision>
  <dcterms:created xsi:type="dcterms:W3CDTF">2026-09-18T14:24:00Z</dcterms:created>
  <dcterms:modified xsi:type="dcterms:W3CDTF">2026-09-18T14:45:00Z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51c84b84-e7a6-4c30-94c3-1e2ecf3eb4ec</vt:lpwstr>
  </property>
</Properties>
</file>